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206" w:rightChars="98"/>
        <w:jc w:val="center"/>
        <w:rPr>
          <w:rFonts w:ascii="宋体" w:hAnsi="宋体"/>
          <w:b/>
          <w:color w:val="000000"/>
          <w:sz w:val="24"/>
        </w:rPr>
      </w:pPr>
    </w:p>
    <w:p>
      <w:pPr>
        <w:spacing w:line="360" w:lineRule="auto"/>
        <w:jc w:val="center"/>
        <w:rPr>
          <w:rFonts w:ascii="宋体" w:hAnsi="宋体"/>
          <w:b/>
          <w:color w:val="000000"/>
          <w:sz w:val="24"/>
        </w:rPr>
      </w:pPr>
    </w:p>
    <w:p>
      <w:pPr>
        <w:spacing w:line="360" w:lineRule="auto"/>
        <w:jc w:val="center"/>
        <w:rPr>
          <w:rFonts w:ascii="宋体" w:hAnsi="宋体"/>
          <w:b/>
          <w:color w:val="000000"/>
          <w:sz w:val="24"/>
        </w:rPr>
      </w:pPr>
    </w:p>
    <w:p>
      <w:pPr>
        <w:spacing w:line="360" w:lineRule="auto"/>
        <w:jc w:val="center"/>
        <w:rPr>
          <w:rFonts w:ascii="宋体" w:hAnsi="宋体"/>
          <w:b/>
          <w:color w:val="000000"/>
          <w:sz w:val="24"/>
        </w:rPr>
      </w:pPr>
    </w:p>
    <w:p>
      <w:pPr>
        <w:jc w:val="center"/>
        <w:rPr>
          <w:b/>
          <w:sz w:val="52"/>
          <w:szCs w:val="20"/>
        </w:rPr>
      </w:pPr>
    </w:p>
    <w:p>
      <w:pPr>
        <w:spacing w:before="156" w:beforeLines="50"/>
        <w:ind w:left="-283" w:leftChars="-135" w:right="-191" w:rightChars="-91"/>
        <w:jc w:val="center"/>
        <w:rPr>
          <w:rFonts w:ascii="宋体" w:hAnsi="宋体" w:cs="宋体"/>
          <w:b/>
          <w:sz w:val="52"/>
          <w:szCs w:val="52"/>
        </w:rPr>
      </w:pPr>
      <w:bookmarkStart w:id="0" w:name="_Toc88969212"/>
      <w:r>
        <w:rPr>
          <w:rFonts w:hint="eastAsia" w:ascii="宋体" w:hAnsi="宋体" w:cs="宋体"/>
          <w:b/>
          <w:sz w:val="52"/>
          <w:szCs w:val="52"/>
        </w:rPr>
        <w:t>富荣货币市场基金</w:t>
      </w:r>
    </w:p>
    <w:p>
      <w:pPr>
        <w:spacing w:before="156" w:beforeLines="50"/>
        <w:jc w:val="center"/>
        <w:rPr>
          <w:rFonts w:ascii="宋体" w:hAnsi="宋体" w:cs="宋体"/>
          <w:b/>
          <w:sz w:val="52"/>
          <w:szCs w:val="52"/>
        </w:rPr>
      </w:pPr>
      <w:r>
        <w:rPr>
          <w:rFonts w:hint="eastAsia" w:ascii="宋体" w:hAnsi="宋体" w:cs="宋体"/>
          <w:b/>
          <w:sz w:val="52"/>
          <w:szCs w:val="52"/>
        </w:rPr>
        <w:t>更新的招募说明书</w:t>
      </w:r>
    </w:p>
    <w:p>
      <w:pPr>
        <w:spacing w:before="156" w:beforeLines="50"/>
        <w:jc w:val="center"/>
        <w:rPr>
          <w:rFonts w:ascii="宋体" w:hAnsi="宋体" w:cs="宋体"/>
          <w:b/>
          <w:sz w:val="48"/>
          <w:szCs w:val="48"/>
        </w:rPr>
      </w:pPr>
      <w:r>
        <w:rPr>
          <w:rFonts w:hint="eastAsia" w:ascii="宋体" w:hAnsi="宋体" w:cs="宋体"/>
          <w:b/>
          <w:sz w:val="48"/>
          <w:szCs w:val="48"/>
        </w:rPr>
        <w:t>（2017年第1号）</w:t>
      </w:r>
    </w:p>
    <w:p>
      <w:pPr>
        <w:spacing w:line="360" w:lineRule="auto"/>
        <w:jc w:val="center"/>
        <w:rPr>
          <w:rFonts w:ascii="宋体" w:hAnsi="宋体"/>
          <w:b/>
          <w:color w:val="000000"/>
          <w:sz w:val="24"/>
        </w:rPr>
      </w:pPr>
    </w:p>
    <w:bookmarkEnd w:id="0"/>
    <w:p>
      <w:pPr>
        <w:spacing w:line="360" w:lineRule="auto"/>
        <w:jc w:val="center"/>
        <w:rPr>
          <w:rFonts w:ascii="宋体" w:hAnsi="宋体"/>
          <w:b/>
          <w:color w:val="000000"/>
          <w:sz w:val="24"/>
        </w:rPr>
      </w:pPr>
    </w:p>
    <w:p>
      <w:pPr>
        <w:spacing w:line="360" w:lineRule="auto"/>
        <w:rPr>
          <w:rFonts w:ascii="宋体" w:hAnsi="宋体"/>
          <w:color w:val="000000"/>
          <w:sz w:val="24"/>
        </w:rPr>
      </w:pPr>
    </w:p>
    <w:p>
      <w:pPr>
        <w:spacing w:line="360" w:lineRule="auto"/>
        <w:rPr>
          <w:rFonts w:ascii="宋体" w:hAnsi="宋体"/>
          <w:b/>
          <w:color w:val="000000"/>
          <w:sz w:val="24"/>
        </w:rPr>
      </w:pPr>
    </w:p>
    <w:p>
      <w:pPr>
        <w:spacing w:line="360" w:lineRule="auto"/>
        <w:jc w:val="center"/>
        <w:rPr>
          <w:rFonts w:ascii="宋体" w:hAnsi="宋体"/>
          <w:b/>
          <w:color w:val="000000"/>
          <w:sz w:val="24"/>
        </w:rPr>
      </w:pPr>
    </w:p>
    <w:p>
      <w:pPr>
        <w:spacing w:line="360" w:lineRule="auto"/>
        <w:jc w:val="center"/>
        <w:rPr>
          <w:rFonts w:ascii="宋体" w:hAnsi="宋体"/>
          <w:b/>
          <w:color w:val="000000"/>
          <w:sz w:val="24"/>
        </w:rPr>
      </w:pPr>
    </w:p>
    <w:p>
      <w:pPr>
        <w:spacing w:line="360" w:lineRule="auto"/>
        <w:rPr>
          <w:rFonts w:ascii="宋体" w:hAnsi="宋体"/>
          <w:b/>
          <w:color w:val="000000"/>
          <w:sz w:val="24"/>
        </w:rPr>
      </w:pPr>
    </w:p>
    <w:p>
      <w:pPr>
        <w:spacing w:line="360" w:lineRule="auto"/>
        <w:jc w:val="center"/>
        <w:rPr>
          <w:rFonts w:ascii="宋体" w:hAnsi="宋体"/>
          <w:b/>
          <w:color w:val="000000"/>
          <w:sz w:val="24"/>
        </w:rPr>
      </w:pPr>
    </w:p>
    <w:p>
      <w:pPr>
        <w:spacing w:line="360" w:lineRule="auto"/>
        <w:jc w:val="center"/>
        <w:rPr>
          <w:rFonts w:ascii="宋体" w:hAnsi="宋体"/>
          <w:b/>
          <w:color w:val="000000"/>
          <w:sz w:val="24"/>
        </w:rPr>
      </w:pPr>
    </w:p>
    <w:p>
      <w:pPr>
        <w:spacing w:line="360" w:lineRule="auto"/>
        <w:jc w:val="center"/>
        <w:rPr>
          <w:rFonts w:ascii="宋体" w:hAnsi="宋体"/>
          <w:b/>
          <w:color w:val="000000"/>
          <w:sz w:val="24"/>
        </w:rPr>
      </w:pPr>
    </w:p>
    <w:p>
      <w:pPr>
        <w:spacing w:line="360" w:lineRule="auto"/>
        <w:rPr>
          <w:rFonts w:ascii="宋体" w:hAnsi="宋体"/>
          <w:b/>
          <w:color w:val="000000"/>
          <w:sz w:val="24"/>
        </w:rPr>
      </w:pPr>
    </w:p>
    <w:p>
      <w:pPr>
        <w:spacing w:line="360" w:lineRule="auto"/>
        <w:rPr>
          <w:rFonts w:ascii="宋体" w:hAnsi="宋体"/>
          <w:b/>
          <w:color w:val="000000"/>
          <w:sz w:val="24"/>
        </w:rPr>
      </w:pPr>
    </w:p>
    <w:p>
      <w:pPr>
        <w:jc w:val="center"/>
        <w:rPr>
          <w:b/>
          <w:sz w:val="36"/>
          <w:szCs w:val="20"/>
        </w:rPr>
      </w:pPr>
      <w:r>
        <w:rPr>
          <w:rFonts w:hint="eastAsia"/>
          <w:b/>
          <w:sz w:val="36"/>
          <w:szCs w:val="20"/>
        </w:rPr>
        <w:t>基金管理人：富荣基金管理有限公司</w:t>
      </w:r>
    </w:p>
    <w:p>
      <w:pPr>
        <w:jc w:val="center"/>
        <w:rPr>
          <w:b/>
          <w:sz w:val="36"/>
          <w:szCs w:val="20"/>
        </w:rPr>
      </w:pPr>
      <w:r>
        <w:rPr>
          <w:rFonts w:hint="eastAsia"/>
          <w:b/>
          <w:sz w:val="36"/>
          <w:szCs w:val="20"/>
        </w:rPr>
        <w:t>基金托管人：中国光大银行股份有限公司</w:t>
      </w:r>
    </w:p>
    <w:p>
      <w:pPr>
        <w:spacing w:line="360" w:lineRule="auto"/>
        <w:jc w:val="center"/>
        <w:rPr>
          <w:rFonts w:ascii="宋体" w:hAnsi="宋体"/>
          <w:color w:val="000000"/>
          <w:sz w:val="24"/>
        </w:rPr>
      </w:pPr>
      <w:r>
        <w:rPr>
          <w:rFonts w:hint="eastAsia"/>
          <w:b/>
          <w:sz w:val="36"/>
          <w:szCs w:val="20"/>
        </w:rPr>
        <w:t>截止日：2017年6月26日</w:t>
      </w:r>
    </w:p>
    <w:p>
      <w:pPr>
        <w:pStyle w:val="4"/>
        <w:autoSpaceDE w:val="0"/>
        <w:autoSpaceDN w:val="0"/>
        <w:adjustRightInd w:val="0"/>
        <w:jc w:val="center"/>
        <w:rPr>
          <w:rFonts w:hAnsi="宋体"/>
          <w:color w:val="000000"/>
          <w:kern w:val="0"/>
          <w:sz w:val="24"/>
        </w:rPr>
      </w:pPr>
    </w:p>
    <w:p>
      <w:pPr>
        <w:pStyle w:val="2"/>
        <w:spacing w:line="360" w:lineRule="auto"/>
        <w:jc w:val="center"/>
        <w:rPr>
          <w:rFonts w:hAnsi="宋体"/>
        </w:rPr>
      </w:pPr>
      <w:r>
        <w:rPr>
          <w:rFonts w:hint="eastAsia" w:ascii="宋体" w:hAnsi="宋体"/>
          <w:color w:val="000000"/>
          <w:kern w:val="0"/>
          <w:sz w:val="24"/>
          <w:szCs w:val="24"/>
        </w:rPr>
        <w:t>【重要提示】</w:t>
      </w:r>
    </w:p>
    <w:p>
      <w:pPr>
        <w:spacing w:line="360" w:lineRule="auto"/>
        <w:ind w:firstLine="484" w:firstLineChars="202"/>
        <w:rPr>
          <w:rFonts w:ascii="宋体" w:hAnsi="宋体"/>
          <w:sz w:val="24"/>
        </w:rPr>
      </w:pPr>
      <w:r>
        <w:rPr>
          <w:rFonts w:ascii="宋体" w:hAnsi="宋体"/>
          <w:sz w:val="24"/>
        </w:rPr>
        <w:t>本基金经中国证券监督管理委员会2016年9月</w:t>
      </w:r>
      <w:r>
        <w:rPr>
          <w:rFonts w:hint="eastAsia" w:ascii="宋体" w:hAnsi="宋体"/>
          <w:sz w:val="24"/>
        </w:rPr>
        <w:t>20</w:t>
      </w:r>
      <w:r>
        <w:rPr>
          <w:rFonts w:ascii="宋体" w:hAnsi="宋体"/>
          <w:sz w:val="24"/>
        </w:rPr>
        <w:t>日证监许可【2016】2153号文注册。</w:t>
      </w:r>
      <w:r>
        <w:rPr>
          <w:rFonts w:hint="eastAsia" w:ascii="宋体" w:hAnsi="宋体"/>
          <w:sz w:val="24"/>
        </w:rPr>
        <w:t>本基金于</w:t>
      </w:r>
      <w:r>
        <w:rPr>
          <w:rFonts w:ascii="宋体" w:hAnsi="宋体"/>
          <w:sz w:val="24"/>
        </w:rPr>
        <w:t>201</w:t>
      </w:r>
      <w:r>
        <w:rPr>
          <w:rFonts w:hint="eastAsia" w:ascii="宋体" w:hAnsi="宋体"/>
          <w:sz w:val="24"/>
        </w:rPr>
        <w:t>6年</w:t>
      </w:r>
      <w:r>
        <w:rPr>
          <w:rFonts w:ascii="宋体" w:hAnsi="宋体"/>
          <w:sz w:val="24"/>
        </w:rPr>
        <w:t>1</w:t>
      </w:r>
      <w:r>
        <w:rPr>
          <w:rFonts w:hint="eastAsia" w:ascii="宋体" w:hAnsi="宋体"/>
          <w:sz w:val="24"/>
        </w:rPr>
        <w:t>2月</w:t>
      </w:r>
      <w:r>
        <w:rPr>
          <w:rFonts w:ascii="宋体" w:hAnsi="宋体"/>
          <w:sz w:val="24"/>
        </w:rPr>
        <w:t>2</w:t>
      </w:r>
      <w:r>
        <w:rPr>
          <w:rFonts w:hint="eastAsia" w:ascii="宋体" w:hAnsi="宋体"/>
          <w:sz w:val="24"/>
        </w:rPr>
        <w:t>6日正式生效。</w:t>
      </w:r>
    </w:p>
    <w:p>
      <w:pPr>
        <w:spacing w:line="360" w:lineRule="auto"/>
        <w:ind w:firstLine="484" w:firstLineChars="202"/>
        <w:rPr>
          <w:rFonts w:ascii="宋体" w:hAnsi="宋体"/>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pPr>
        <w:spacing w:line="360" w:lineRule="auto"/>
        <w:ind w:firstLine="484" w:firstLineChars="202"/>
        <w:rPr>
          <w:rFonts w:ascii="宋体" w:hAnsi="宋体"/>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pPr>
        <w:spacing w:line="360" w:lineRule="auto"/>
        <w:ind w:firstLine="484" w:firstLineChars="202"/>
        <w:rPr>
          <w:rFonts w:ascii="宋体" w:hAnsi="宋体"/>
          <w:sz w:val="24"/>
        </w:rPr>
      </w:pPr>
      <w:r>
        <w:rPr>
          <w:rFonts w:ascii="宋体" w:hAnsi="宋体"/>
          <w:sz w:val="24"/>
        </w:rPr>
        <w:t>本基金主要投资于具有良好流动性的工具，包括</w:t>
      </w:r>
      <w:r>
        <w:rPr>
          <w:rFonts w:hint="eastAsia" w:ascii="宋体" w:hAnsi="宋体"/>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pPr>
        <w:spacing w:line="360" w:lineRule="auto"/>
        <w:ind w:firstLine="484" w:firstLineChars="202"/>
        <w:rPr>
          <w:rFonts w:ascii="宋体" w:hAnsi="宋体"/>
          <w:sz w:val="24"/>
        </w:rPr>
      </w:pPr>
      <w:r>
        <w:rPr>
          <w:rFonts w:hint="eastAsia" w:ascii="宋体" w:hAnsi="宋体"/>
          <w:sz w:val="24"/>
        </w:rPr>
        <w:t>如法律法规或监管机构以后允许货币市场基金投资其他产品，基金管理人在履行适当的程序后，可以将其纳入投资范围。</w:t>
      </w:r>
    </w:p>
    <w:p>
      <w:pPr>
        <w:spacing w:line="360" w:lineRule="auto"/>
        <w:ind w:firstLine="484" w:firstLineChars="202"/>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等。 </w:t>
      </w:r>
    </w:p>
    <w:p>
      <w:pPr>
        <w:spacing w:line="360" w:lineRule="auto"/>
        <w:ind w:firstLine="484" w:firstLineChars="202"/>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pPr>
        <w:spacing w:line="360" w:lineRule="auto"/>
        <w:ind w:firstLine="484" w:firstLineChars="202"/>
        <w:rPr>
          <w:rFonts w:ascii="宋体" w:hAnsi="宋体"/>
          <w:sz w:val="24"/>
        </w:rPr>
      </w:pPr>
      <w:r>
        <w:rPr>
          <w:rFonts w:ascii="宋体" w:hAnsi="宋体"/>
          <w:sz w:val="24"/>
        </w:rPr>
        <w:t xml:space="preserve">基金的过往业绩并不预示其未来表现。 </w:t>
      </w:r>
    </w:p>
    <w:p>
      <w:pPr>
        <w:spacing w:line="360" w:lineRule="auto"/>
        <w:ind w:firstLine="484" w:firstLineChars="202"/>
        <w:rPr>
          <w:rFonts w:ascii="宋体" w:hAnsi="宋体"/>
          <w:sz w:val="24"/>
        </w:rPr>
      </w:pPr>
      <w:r>
        <w:rPr>
          <w:rFonts w:ascii="宋体" w:hAnsi="宋体"/>
          <w:sz w:val="24"/>
        </w:rPr>
        <w:t>基金管理人管理的其它基金的业绩并不构成对本基金业绩表现的保证。基金管理人依照恪尽职守、诚实信用、谨慎勤勉的原则管理和运用基金财产，但不保证基金一定盈利，也不保证最低收益。</w:t>
      </w:r>
    </w:p>
    <w:p>
      <w:pPr>
        <w:spacing w:line="360" w:lineRule="auto"/>
        <w:ind w:firstLine="484" w:firstLineChars="202"/>
        <w:rPr>
          <w:rFonts w:ascii="宋体" w:hAnsi="宋体"/>
          <w:color w:val="000000"/>
          <w:kern w:val="0"/>
          <w:sz w:val="24"/>
        </w:rPr>
      </w:pPr>
      <w:r>
        <w:rPr>
          <w:rFonts w:hint="eastAsia" w:ascii="宋体" w:hAnsi="宋体"/>
          <w:color w:val="000000"/>
          <w:kern w:val="0"/>
          <w:sz w:val="24"/>
        </w:rPr>
        <w:t>本招募说明书所载内容截止日为</w:t>
      </w:r>
      <w:r>
        <w:rPr>
          <w:rFonts w:ascii="宋体" w:hAnsi="宋体"/>
          <w:color w:val="000000"/>
          <w:kern w:val="0"/>
          <w:sz w:val="24"/>
        </w:rPr>
        <w:t>201</w:t>
      </w:r>
      <w:r>
        <w:rPr>
          <w:rFonts w:hint="eastAsia" w:ascii="宋体" w:hAnsi="宋体"/>
          <w:color w:val="000000"/>
          <w:kern w:val="0"/>
          <w:sz w:val="24"/>
        </w:rPr>
        <w:t>7年6月</w:t>
      </w:r>
      <w:r>
        <w:rPr>
          <w:rFonts w:ascii="宋体" w:hAnsi="宋体"/>
          <w:color w:val="000000"/>
          <w:kern w:val="0"/>
          <w:sz w:val="24"/>
        </w:rPr>
        <w:t>2</w:t>
      </w:r>
      <w:r>
        <w:rPr>
          <w:rFonts w:hint="eastAsia" w:ascii="宋体" w:hAnsi="宋体"/>
          <w:color w:val="000000"/>
          <w:kern w:val="0"/>
          <w:sz w:val="24"/>
        </w:rPr>
        <w:t>6日，有关财务数据和净值表现截止日为</w:t>
      </w:r>
      <w:r>
        <w:rPr>
          <w:rFonts w:ascii="宋体" w:hAnsi="宋体"/>
          <w:color w:val="000000"/>
          <w:kern w:val="0"/>
          <w:sz w:val="24"/>
        </w:rPr>
        <w:t>201</w:t>
      </w:r>
      <w:r>
        <w:rPr>
          <w:rFonts w:hint="eastAsia" w:ascii="宋体" w:hAnsi="宋体"/>
          <w:color w:val="000000"/>
          <w:kern w:val="0"/>
          <w:sz w:val="24"/>
        </w:rPr>
        <w:t>7年3月31日。（财务数据未经审计）。</w:t>
      </w:r>
    </w:p>
    <w:p>
      <w:pPr>
        <w:spacing w:line="360" w:lineRule="auto"/>
        <w:ind w:firstLine="484" w:firstLineChars="202"/>
        <w:rPr>
          <w:rFonts w:ascii="宋体" w:hAnsi="宋体"/>
          <w:color w:val="000000"/>
          <w:kern w:val="0"/>
          <w:sz w:val="24"/>
        </w:rPr>
      </w:pPr>
      <w:r>
        <w:rPr>
          <w:rFonts w:ascii="宋体" w:hAnsi="宋体"/>
          <w:color w:val="000000"/>
          <w:kern w:val="0"/>
          <w:sz w:val="24"/>
        </w:rPr>
        <w:t>本基金托管人</w:t>
      </w:r>
      <w:r>
        <w:rPr>
          <w:rFonts w:hint="eastAsia" w:ascii="宋体" w:hAnsi="宋体"/>
          <w:color w:val="000000"/>
          <w:kern w:val="0"/>
          <w:sz w:val="24"/>
        </w:rPr>
        <w:t>中国光大</w:t>
      </w:r>
      <w:r>
        <w:rPr>
          <w:rFonts w:ascii="宋体" w:hAnsi="宋体"/>
          <w:color w:val="000000"/>
          <w:kern w:val="0"/>
          <w:sz w:val="24"/>
        </w:rPr>
        <w:t>银行股份有限公司已于</w:t>
      </w:r>
      <w:r>
        <w:rPr>
          <w:rFonts w:hint="eastAsia" w:ascii="宋体" w:hAnsi="宋体"/>
          <w:color w:val="000000"/>
          <w:kern w:val="0"/>
          <w:sz w:val="24"/>
          <w:lang w:val="en-US" w:eastAsia="zh-CN"/>
        </w:rPr>
        <w:t>2017</w:t>
      </w:r>
      <w:r>
        <w:rPr>
          <w:rFonts w:ascii="宋体" w:hAnsi="宋体"/>
          <w:color w:val="000000"/>
          <w:kern w:val="0"/>
          <w:sz w:val="24"/>
          <w:highlight w:val="none"/>
        </w:rPr>
        <w:t>年</w:t>
      </w:r>
      <w:r>
        <w:rPr>
          <w:rFonts w:hint="eastAsia" w:ascii="宋体" w:hAnsi="宋体"/>
          <w:color w:val="000000"/>
          <w:kern w:val="0"/>
          <w:sz w:val="24"/>
          <w:highlight w:val="none"/>
          <w:lang w:eastAsia="zh-CN"/>
        </w:rPr>
        <w:t>7</w:t>
      </w:r>
      <w:r>
        <w:rPr>
          <w:rFonts w:ascii="宋体" w:hAnsi="宋体"/>
          <w:color w:val="000000"/>
          <w:kern w:val="0"/>
          <w:sz w:val="24"/>
          <w:highlight w:val="none"/>
        </w:rPr>
        <w:t>月</w:t>
      </w:r>
      <w:r>
        <w:rPr>
          <w:rFonts w:hint="eastAsia" w:ascii="宋体" w:hAnsi="宋体"/>
          <w:color w:val="000000"/>
          <w:kern w:val="0"/>
          <w:sz w:val="24"/>
          <w:highlight w:val="none"/>
          <w:lang w:val="en-US" w:eastAsia="zh-CN"/>
        </w:rPr>
        <w:t>4</w:t>
      </w:r>
      <w:r>
        <w:rPr>
          <w:rFonts w:ascii="宋体" w:hAnsi="宋体"/>
          <w:color w:val="000000"/>
          <w:kern w:val="0"/>
          <w:sz w:val="24"/>
          <w:highlight w:val="none"/>
        </w:rPr>
        <w:t>日</w:t>
      </w:r>
      <w:r>
        <w:rPr>
          <w:rFonts w:ascii="宋体" w:hAnsi="宋体"/>
          <w:color w:val="000000"/>
          <w:kern w:val="0"/>
          <w:sz w:val="24"/>
        </w:rPr>
        <w:t>复核了本次更新的招募说明书。</w:t>
      </w:r>
    </w:p>
    <w:p>
      <w:pPr>
        <w:spacing w:line="360" w:lineRule="auto"/>
        <w:ind w:firstLine="484" w:firstLineChars="202"/>
        <w:rPr>
          <w:rFonts w:ascii="宋体" w:hAnsi="宋体"/>
          <w:color w:val="000000"/>
          <w:kern w:val="0"/>
          <w:sz w:val="24"/>
        </w:rPr>
        <w:sectPr>
          <w:headerReference r:id="rId4" w:type="first"/>
          <w:footerReference r:id="rId6" w:type="first"/>
          <w:headerReference r:id="rId3" w:type="default"/>
          <w:footerReference r:id="rId5" w:type="default"/>
          <w:pgSz w:w="11906" w:h="16838"/>
          <w:pgMar w:top="1440" w:right="1797" w:bottom="1440" w:left="1797" w:header="720" w:footer="720" w:gutter="0"/>
          <w:pgNumType w:start="0"/>
          <w:cols w:space="720" w:num="1"/>
          <w:titlePg/>
          <w:docGrid w:type="lines" w:linePitch="312" w:charSpace="0"/>
        </w:sectPr>
      </w:pPr>
    </w:p>
    <w:p>
      <w:pPr>
        <w:spacing w:before="360" w:beforeLines="150" w:after="120" w:afterLines="50" w:line="360" w:lineRule="exact"/>
        <w:jc w:val="center"/>
        <w:rPr>
          <w:rFonts w:ascii="宋体" w:hAnsi="宋体"/>
          <w:b/>
          <w:color w:val="0D0D0D"/>
          <w:sz w:val="44"/>
          <w:szCs w:val="44"/>
        </w:rPr>
      </w:pPr>
      <w:r>
        <w:rPr>
          <w:rFonts w:hint="eastAsia" w:ascii="宋体" w:hAnsi="宋体"/>
          <w:b/>
          <w:color w:val="0D0D0D"/>
          <w:sz w:val="44"/>
          <w:szCs w:val="44"/>
        </w:rPr>
        <w:t>目  录</w:t>
      </w:r>
    </w:p>
    <w:p>
      <w:pPr>
        <w:pStyle w:val="22"/>
        <w:tabs>
          <w:tab w:val="right" w:leader="dot" w:pos="8640"/>
          <w:tab w:val="clear" w:pos="8630"/>
        </w:tabs>
      </w:pPr>
      <w:r>
        <w:rPr>
          <w:b w:val="0"/>
          <w:color w:val="0D0D0D"/>
          <w:sz w:val="22"/>
          <w:szCs w:val="22"/>
        </w:rPr>
        <w:fldChar w:fldCharType="begin"/>
      </w:r>
      <w:r>
        <w:rPr>
          <w:b w:val="0"/>
          <w:color w:val="0D0D0D"/>
          <w:sz w:val="22"/>
          <w:szCs w:val="22"/>
        </w:rPr>
        <w:instrText xml:space="preserve"> TOC \o "1-1" \h \z \u </w:instrText>
      </w:r>
      <w:r>
        <w:rPr>
          <w:b w:val="0"/>
          <w:color w:val="0D0D0D"/>
          <w:sz w:val="22"/>
          <w:szCs w:val="22"/>
        </w:rPr>
        <w:fldChar w:fldCharType="separate"/>
      </w:r>
      <w:bookmarkStart w:id="1" w:name="_Hlt272684354"/>
      <w:bookmarkEnd w:id="1"/>
      <w:r>
        <w:rPr>
          <w:bCs w:val="0"/>
          <w:color w:val="0D0D0D"/>
          <w:szCs w:val="22"/>
        </w:rPr>
        <w:fldChar w:fldCharType="begin"/>
      </w:r>
      <w:r>
        <w:rPr>
          <w:bCs w:val="0"/>
          <w:szCs w:val="22"/>
        </w:rPr>
        <w:instrText xml:space="preserve"> HYPERLINK \l _Toc28809 </w:instrText>
      </w:r>
      <w:r>
        <w:rPr>
          <w:bCs w:val="0"/>
          <w:szCs w:val="22"/>
        </w:rPr>
        <w:fldChar w:fldCharType="separate"/>
      </w:r>
      <w:r>
        <w:rPr>
          <w:rFonts w:hint="eastAsia" w:ascii="宋体" w:hAnsi="宋体"/>
          <w:kern w:val="0"/>
          <w:szCs w:val="24"/>
        </w:rPr>
        <w:t>第一部分  绪言</w:t>
      </w:r>
      <w:r>
        <w:tab/>
      </w:r>
      <w:r>
        <w:fldChar w:fldCharType="begin"/>
      </w:r>
      <w:r>
        <w:instrText xml:space="preserve"> PAGEREF _Toc28809 </w:instrText>
      </w:r>
      <w:r>
        <w:fldChar w:fldCharType="separate"/>
      </w:r>
      <w:r>
        <w:t>2</w:t>
      </w:r>
      <w:r>
        <w:fldChar w:fldCharType="end"/>
      </w:r>
      <w:r>
        <w:rPr>
          <w:bCs w:val="0"/>
          <w:color w:val="0D0D0D"/>
          <w:szCs w:val="22"/>
        </w:rPr>
        <w:fldChar w:fldCharType="end"/>
      </w:r>
    </w:p>
    <w:p>
      <w:pPr>
        <w:pStyle w:val="22"/>
        <w:tabs>
          <w:tab w:val="right" w:leader="dot" w:pos="8640"/>
          <w:tab w:val="clear" w:pos="8630"/>
        </w:tabs>
      </w:pPr>
      <w:r>
        <w:fldChar w:fldCharType="begin"/>
      </w:r>
      <w:r>
        <w:instrText xml:space="preserve"> HYPERLINK \l "_Toc28826" </w:instrText>
      </w:r>
      <w:r>
        <w:fldChar w:fldCharType="separate"/>
      </w:r>
      <w:r>
        <w:rPr>
          <w:rFonts w:hint="eastAsia" w:ascii="宋体" w:hAnsi="宋体"/>
          <w:kern w:val="0"/>
          <w:szCs w:val="24"/>
        </w:rPr>
        <w:t>第二部分  释义</w:t>
      </w:r>
      <w:r>
        <w:tab/>
      </w:r>
      <w:r>
        <w:fldChar w:fldCharType="begin"/>
      </w:r>
      <w:r>
        <w:instrText xml:space="preserve"> PAGEREF _Toc28826 </w:instrText>
      </w:r>
      <w:r>
        <w:fldChar w:fldCharType="separate"/>
      </w:r>
      <w:r>
        <w:t>3</w:t>
      </w:r>
      <w:r>
        <w:fldChar w:fldCharType="end"/>
      </w:r>
      <w:r>
        <w:fldChar w:fldCharType="end"/>
      </w:r>
    </w:p>
    <w:p>
      <w:pPr>
        <w:pStyle w:val="22"/>
        <w:tabs>
          <w:tab w:val="right" w:leader="dot" w:pos="8640"/>
          <w:tab w:val="clear" w:pos="8630"/>
        </w:tabs>
      </w:pPr>
      <w:r>
        <w:fldChar w:fldCharType="begin"/>
      </w:r>
      <w:r>
        <w:instrText xml:space="preserve"> HYPERLINK \l "_Toc26120" </w:instrText>
      </w:r>
      <w:r>
        <w:fldChar w:fldCharType="separate"/>
      </w:r>
      <w:r>
        <w:rPr>
          <w:rFonts w:hint="eastAsia" w:ascii="宋体" w:hAnsi="宋体"/>
          <w:kern w:val="0"/>
          <w:szCs w:val="24"/>
        </w:rPr>
        <w:t>第三部分  基金管理人</w:t>
      </w:r>
      <w:r>
        <w:tab/>
      </w:r>
      <w:r>
        <w:fldChar w:fldCharType="begin"/>
      </w:r>
      <w:r>
        <w:instrText xml:space="preserve"> PAGEREF _Toc26120 </w:instrText>
      </w:r>
      <w:r>
        <w:fldChar w:fldCharType="separate"/>
      </w:r>
      <w:r>
        <w:t>8</w:t>
      </w:r>
      <w:r>
        <w:fldChar w:fldCharType="end"/>
      </w:r>
      <w:r>
        <w:fldChar w:fldCharType="end"/>
      </w:r>
    </w:p>
    <w:p>
      <w:pPr>
        <w:pStyle w:val="22"/>
        <w:tabs>
          <w:tab w:val="right" w:leader="dot" w:pos="8640"/>
          <w:tab w:val="clear" w:pos="8630"/>
        </w:tabs>
      </w:pPr>
      <w:r>
        <w:fldChar w:fldCharType="begin"/>
      </w:r>
      <w:r>
        <w:instrText xml:space="preserve"> HYPERLINK \l "_Toc20813" </w:instrText>
      </w:r>
      <w:r>
        <w:fldChar w:fldCharType="separate"/>
      </w:r>
      <w:r>
        <w:rPr>
          <w:rFonts w:hint="eastAsia" w:ascii="宋体" w:hAnsi="宋体"/>
          <w:kern w:val="0"/>
          <w:szCs w:val="24"/>
        </w:rPr>
        <w:t>第四部分  基金托管人</w:t>
      </w:r>
      <w:r>
        <w:tab/>
      </w:r>
      <w:r>
        <w:fldChar w:fldCharType="begin"/>
      </w:r>
      <w:r>
        <w:instrText xml:space="preserve"> PAGEREF _Toc20813 </w:instrText>
      </w:r>
      <w:r>
        <w:fldChar w:fldCharType="separate"/>
      </w:r>
      <w:r>
        <w:t>18</w:t>
      </w:r>
      <w:r>
        <w:fldChar w:fldCharType="end"/>
      </w:r>
      <w:r>
        <w:fldChar w:fldCharType="end"/>
      </w:r>
    </w:p>
    <w:p>
      <w:pPr>
        <w:pStyle w:val="22"/>
        <w:tabs>
          <w:tab w:val="right" w:leader="dot" w:pos="8640"/>
          <w:tab w:val="clear" w:pos="8630"/>
        </w:tabs>
      </w:pPr>
      <w:r>
        <w:fldChar w:fldCharType="begin"/>
      </w:r>
      <w:r>
        <w:instrText xml:space="preserve"> HYPERLINK \l "_Toc26497" </w:instrText>
      </w:r>
      <w:r>
        <w:fldChar w:fldCharType="separate"/>
      </w:r>
      <w:r>
        <w:rPr>
          <w:rFonts w:hint="eastAsia" w:ascii="宋体" w:hAnsi="宋体"/>
          <w:kern w:val="0"/>
          <w:szCs w:val="24"/>
        </w:rPr>
        <w:t>第五部分  相关服务机构</w:t>
      </w:r>
      <w:r>
        <w:tab/>
      </w:r>
      <w:r>
        <w:fldChar w:fldCharType="begin"/>
      </w:r>
      <w:r>
        <w:instrText xml:space="preserve"> PAGEREF _Toc26497 </w:instrText>
      </w:r>
      <w:r>
        <w:fldChar w:fldCharType="separate"/>
      </w:r>
      <w:r>
        <w:t>23</w:t>
      </w:r>
      <w:r>
        <w:fldChar w:fldCharType="end"/>
      </w:r>
      <w:r>
        <w:fldChar w:fldCharType="end"/>
      </w:r>
    </w:p>
    <w:p>
      <w:pPr>
        <w:pStyle w:val="22"/>
        <w:tabs>
          <w:tab w:val="right" w:leader="dot" w:pos="8640"/>
          <w:tab w:val="clear" w:pos="8630"/>
        </w:tabs>
      </w:pPr>
      <w:r>
        <w:fldChar w:fldCharType="begin"/>
      </w:r>
      <w:r>
        <w:instrText xml:space="preserve"> HYPERLINK \l "_Toc21861" </w:instrText>
      </w:r>
      <w:r>
        <w:fldChar w:fldCharType="separate"/>
      </w:r>
      <w:r>
        <w:rPr>
          <w:rFonts w:hint="eastAsia" w:ascii="宋体" w:hAnsi="宋体"/>
          <w:kern w:val="0"/>
          <w:szCs w:val="24"/>
        </w:rPr>
        <w:t>第六部分  基金的募集</w:t>
      </w:r>
      <w:r>
        <w:tab/>
      </w:r>
      <w:r>
        <w:fldChar w:fldCharType="begin"/>
      </w:r>
      <w:r>
        <w:instrText xml:space="preserve"> PAGEREF _Toc21861 </w:instrText>
      </w:r>
      <w:r>
        <w:fldChar w:fldCharType="separate"/>
      </w:r>
      <w:r>
        <w:t>27</w:t>
      </w:r>
      <w:r>
        <w:fldChar w:fldCharType="end"/>
      </w:r>
      <w:r>
        <w:fldChar w:fldCharType="end"/>
      </w:r>
    </w:p>
    <w:p>
      <w:pPr>
        <w:pStyle w:val="22"/>
        <w:tabs>
          <w:tab w:val="right" w:leader="dot" w:pos="8640"/>
          <w:tab w:val="clear" w:pos="8630"/>
        </w:tabs>
      </w:pPr>
      <w:r>
        <w:fldChar w:fldCharType="begin"/>
      </w:r>
      <w:r>
        <w:instrText xml:space="preserve"> HYPERLINK \l "_Toc406" </w:instrText>
      </w:r>
      <w:r>
        <w:fldChar w:fldCharType="separate"/>
      </w:r>
      <w:r>
        <w:rPr>
          <w:rFonts w:hint="eastAsia" w:ascii="宋体" w:hAnsi="宋体"/>
          <w:kern w:val="0"/>
          <w:szCs w:val="24"/>
        </w:rPr>
        <w:t>第七部分</w:t>
      </w:r>
      <w:r>
        <w:rPr>
          <w:rFonts w:ascii="宋体" w:hAnsi="宋体"/>
          <w:kern w:val="0"/>
          <w:szCs w:val="24"/>
        </w:rPr>
        <w:t xml:space="preserve">  </w:t>
      </w:r>
      <w:r>
        <w:rPr>
          <w:rFonts w:hint="eastAsia" w:ascii="宋体" w:hAnsi="宋体"/>
          <w:kern w:val="0"/>
          <w:szCs w:val="24"/>
        </w:rPr>
        <w:t>基金合同的生效</w:t>
      </w:r>
      <w:r>
        <w:tab/>
      </w:r>
      <w:r>
        <w:fldChar w:fldCharType="begin"/>
      </w:r>
      <w:r>
        <w:instrText xml:space="preserve"> PAGEREF _Toc406 </w:instrText>
      </w:r>
      <w:r>
        <w:fldChar w:fldCharType="separate"/>
      </w:r>
      <w:r>
        <w:t>28</w:t>
      </w:r>
      <w:r>
        <w:fldChar w:fldCharType="end"/>
      </w:r>
      <w:r>
        <w:fldChar w:fldCharType="end"/>
      </w:r>
    </w:p>
    <w:p>
      <w:pPr>
        <w:pStyle w:val="22"/>
        <w:tabs>
          <w:tab w:val="right" w:leader="dot" w:pos="8640"/>
          <w:tab w:val="clear" w:pos="8630"/>
        </w:tabs>
      </w:pPr>
      <w:r>
        <w:fldChar w:fldCharType="begin"/>
      </w:r>
      <w:r>
        <w:instrText xml:space="preserve"> HYPERLINK \l "_Toc7369" </w:instrText>
      </w:r>
      <w:r>
        <w:fldChar w:fldCharType="separate"/>
      </w:r>
      <w:r>
        <w:rPr>
          <w:rFonts w:hint="eastAsia" w:ascii="宋体" w:hAnsi="宋体"/>
          <w:kern w:val="0"/>
          <w:szCs w:val="24"/>
        </w:rPr>
        <w:t>第八部分  基金份额的申购与赎回</w:t>
      </w:r>
      <w:r>
        <w:tab/>
      </w:r>
      <w:r>
        <w:fldChar w:fldCharType="begin"/>
      </w:r>
      <w:r>
        <w:instrText xml:space="preserve"> PAGEREF _Toc7369 </w:instrText>
      </w:r>
      <w:r>
        <w:fldChar w:fldCharType="separate"/>
      </w:r>
      <w:r>
        <w:t>29</w:t>
      </w:r>
      <w:r>
        <w:fldChar w:fldCharType="end"/>
      </w:r>
      <w:r>
        <w:fldChar w:fldCharType="end"/>
      </w:r>
    </w:p>
    <w:p>
      <w:pPr>
        <w:pStyle w:val="22"/>
        <w:tabs>
          <w:tab w:val="right" w:leader="dot" w:pos="8640"/>
          <w:tab w:val="clear" w:pos="8630"/>
        </w:tabs>
      </w:pPr>
      <w:r>
        <w:fldChar w:fldCharType="begin"/>
      </w:r>
      <w:r>
        <w:instrText xml:space="preserve"> HYPERLINK \l "_Toc30413" </w:instrText>
      </w:r>
      <w:r>
        <w:fldChar w:fldCharType="separate"/>
      </w:r>
      <w:r>
        <w:rPr>
          <w:rFonts w:hint="eastAsia" w:ascii="宋体" w:hAnsi="宋体"/>
          <w:kern w:val="0"/>
          <w:szCs w:val="24"/>
        </w:rPr>
        <w:t>第九部分  基金的投资</w:t>
      </w:r>
      <w:r>
        <w:tab/>
      </w:r>
      <w:r>
        <w:fldChar w:fldCharType="begin"/>
      </w:r>
      <w:r>
        <w:instrText xml:space="preserve"> PAGEREF _Toc30413 </w:instrText>
      </w:r>
      <w:r>
        <w:fldChar w:fldCharType="separate"/>
      </w:r>
      <w:r>
        <w:t>39</w:t>
      </w:r>
      <w:r>
        <w:fldChar w:fldCharType="end"/>
      </w:r>
      <w:r>
        <w:fldChar w:fldCharType="end"/>
      </w:r>
    </w:p>
    <w:p>
      <w:pPr>
        <w:pStyle w:val="22"/>
        <w:tabs>
          <w:tab w:val="right" w:leader="dot" w:pos="8640"/>
          <w:tab w:val="clear" w:pos="8630"/>
        </w:tabs>
      </w:pPr>
      <w:r>
        <w:fldChar w:fldCharType="begin"/>
      </w:r>
      <w:r>
        <w:instrText xml:space="preserve"> HYPERLINK \l "_Toc1303" </w:instrText>
      </w:r>
      <w:r>
        <w:fldChar w:fldCharType="separate"/>
      </w:r>
      <w:r>
        <w:rPr>
          <w:rFonts w:hint="eastAsia" w:ascii="宋体" w:hAnsi="宋体"/>
          <w:kern w:val="0"/>
          <w:szCs w:val="24"/>
        </w:rPr>
        <w:t>第十部分  基金的财产</w:t>
      </w:r>
      <w:r>
        <w:tab/>
      </w:r>
      <w:r>
        <w:fldChar w:fldCharType="begin"/>
      </w:r>
      <w:r>
        <w:instrText xml:space="preserve"> PAGEREF _Toc1303 </w:instrText>
      </w:r>
      <w:r>
        <w:fldChar w:fldCharType="separate"/>
      </w:r>
      <w:r>
        <w:t>53</w:t>
      </w:r>
      <w:r>
        <w:fldChar w:fldCharType="end"/>
      </w:r>
      <w:r>
        <w:fldChar w:fldCharType="end"/>
      </w:r>
    </w:p>
    <w:p>
      <w:pPr>
        <w:pStyle w:val="22"/>
        <w:tabs>
          <w:tab w:val="right" w:leader="dot" w:pos="8640"/>
          <w:tab w:val="clear" w:pos="8630"/>
        </w:tabs>
      </w:pPr>
      <w:r>
        <w:fldChar w:fldCharType="begin"/>
      </w:r>
      <w:r>
        <w:instrText xml:space="preserve"> HYPERLINK \l "_Toc26536" </w:instrText>
      </w:r>
      <w:r>
        <w:fldChar w:fldCharType="separate"/>
      </w:r>
      <w:r>
        <w:rPr>
          <w:rFonts w:hint="eastAsia" w:ascii="宋体" w:hAnsi="宋体"/>
          <w:kern w:val="0"/>
          <w:szCs w:val="24"/>
        </w:rPr>
        <w:t>第十一部分  基金资产的估值</w:t>
      </w:r>
      <w:r>
        <w:tab/>
      </w:r>
      <w:r>
        <w:fldChar w:fldCharType="begin"/>
      </w:r>
      <w:r>
        <w:instrText xml:space="preserve"> PAGEREF _Toc26536 </w:instrText>
      </w:r>
      <w:r>
        <w:fldChar w:fldCharType="separate"/>
      </w:r>
      <w:r>
        <w:t>54</w:t>
      </w:r>
      <w:r>
        <w:fldChar w:fldCharType="end"/>
      </w:r>
      <w:r>
        <w:fldChar w:fldCharType="end"/>
      </w:r>
    </w:p>
    <w:p>
      <w:pPr>
        <w:pStyle w:val="22"/>
        <w:tabs>
          <w:tab w:val="right" w:leader="dot" w:pos="8640"/>
          <w:tab w:val="clear" w:pos="8630"/>
        </w:tabs>
      </w:pPr>
      <w:r>
        <w:fldChar w:fldCharType="begin"/>
      </w:r>
      <w:r>
        <w:instrText xml:space="preserve"> HYPERLINK \l "_Toc12378" </w:instrText>
      </w:r>
      <w:r>
        <w:fldChar w:fldCharType="separate"/>
      </w:r>
      <w:r>
        <w:rPr>
          <w:rFonts w:hint="eastAsia" w:ascii="宋体" w:hAnsi="宋体"/>
          <w:kern w:val="0"/>
          <w:szCs w:val="24"/>
        </w:rPr>
        <w:t>第十二部分  基金的收益与分配</w:t>
      </w:r>
      <w:r>
        <w:tab/>
      </w:r>
      <w:r>
        <w:fldChar w:fldCharType="begin"/>
      </w:r>
      <w:r>
        <w:instrText xml:space="preserve"> PAGEREF _Toc12378 </w:instrText>
      </w:r>
      <w:r>
        <w:fldChar w:fldCharType="separate"/>
      </w:r>
      <w:r>
        <w:t>59</w:t>
      </w:r>
      <w:r>
        <w:fldChar w:fldCharType="end"/>
      </w:r>
      <w:r>
        <w:fldChar w:fldCharType="end"/>
      </w:r>
    </w:p>
    <w:p>
      <w:pPr>
        <w:pStyle w:val="22"/>
        <w:tabs>
          <w:tab w:val="right" w:leader="dot" w:pos="8640"/>
          <w:tab w:val="clear" w:pos="8630"/>
        </w:tabs>
      </w:pPr>
      <w:r>
        <w:fldChar w:fldCharType="begin"/>
      </w:r>
      <w:r>
        <w:instrText xml:space="preserve"> HYPERLINK \l "_Toc31494" </w:instrText>
      </w:r>
      <w:r>
        <w:fldChar w:fldCharType="separate"/>
      </w:r>
      <w:r>
        <w:rPr>
          <w:rFonts w:hint="eastAsia" w:ascii="宋体" w:hAnsi="宋体"/>
          <w:kern w:val="0"/>
          <w:szCs w:val="24"/>
        </w:rPr>
        <w:t>第十三部分</w:t>
      </w:r>
      <w:r>
        <w:rPr>
          <w:rFonts w:ascii="宋体" w:hAnsi="宋体"/>
          <w:kern w:val="0"/>
          <w:szCs w:val="24"/>
        </w:rPr>
        <w:t xml:space="preserve">  </w:t>
      </w:r>
      <w:r>
        <w:rPr>
          <w:rFonts w:hint="eastAsia" w:ascii="宋体" w:hAnsi="宋体"/>
          <w:kern w:val="0"/>
          <w:szCs w:val="24"/>
        </w:rPr>
        <w:t>基金的费用与税收</w:t>
      </w:r>
      <w:r>
        <w:tab/>
      </w:r>
      <w:r>
        <w:fldChar w:fldCharType="begin"/>
      </w:r>
      <w:r>
        <w:instrText xml:space="preserve"> PAGEREF _Toc31494 </w:instrText>
      </w:r>
      <w:r>
        <w:fldChar w:fldCharType="separate"/>
      </w:r>
      <w:r>
        <w:t>61</w:t>
      </w:r>
      <w:r>
        <w:fldChar w:fldCharType="end"/>
      </w:r>
      <w:r>
        <w:fldChar w:fldCharType="end"/>
      </w:r>
    </w:p>
    <w:p>
      <w:pPr>
        <w:pStyle w:val="22"/>
        <w:tabs>
          <w:tab w:val="right" w:leader="dot" w:pos="8640"/>
          <w:tab w:val="clear" w:pos="8630"/>
        </w:tabs>
      </w:pPr>
      <w:r>
        <w:fldChar w:fldCharType="begin"/>
      </w:r>
      <w:r>
        <w:instrText xml:space="preserve"> HYPERLINK \l "_Toc2796" </w:instrText>
      </w:r>
      <w:r>
        <w:fldChar w:fldCharType="separate"/>
      </w:r>
      <w:r>
        <w:rPr>
          <w:rFonts w:hint="eastAsia" w:ascii="宋体" w:hAnsi="宋体"/>
          <w:kern w:val="0"/>
          <w:szCs w:val="24"/>
        </w:rPr>
        <w:t>第十四部分</w:t>
      </w:r>
      <w:r>
        <w:rPr>
          <w:rFonts w:ascii="宋体" w:hAnsi="宋体"/>
          <w:kern w:val="0"/>
          <w:szCs w:val="24"/>
        </w:rPr>
        <w:t xml:space="preserve">  </w:t>
      </w:r>
      <w:r>
        <w:rPr>
          <w:rFonts w:hint="eastAsia" w:ascii="宋体" w:hAnsi="宋体"/>
          <w:kern w:val="0"/>
          <w:szCs w:val="24"/>
        </w:rPr>
        <w:t>基金的会计与审计</w:t>
      </w:r>
      <w:r>
        <w:tab/>
      </w:r>
      <w:r>
        <w:fldChar w:fldCharType="begin"/>
      </w:r>
      <w:r>
        <w:instrText xml:space="preserve"> PAGEREF _Toc2796 </w:instrText>
      </w:r>
      <w:r>
        <w:fldChar w:fldCharType="separate"/>
      </w:r>
      <w:r>
        <w:t>64</w:t>
      </w:r>
      <w:r>
        <w:fldChar w:fldCharType="end"/>
      </w:r>
      <w:r>
        <w:fldChar w:fldCharType="end"/>
      </w:r>
    </w:p>
    <w:p>
      <w:pPr>
        <w:pStyle w:val="22"/>
        <w:tabs>
          <w:tab w:val="right" w:leader="dot" w:pos="8640"/>
          <w:tab w:val="clear" w:pos="8630"/>
        </w:tabs>
      </w:pPr>
      <w:r>
        <w:fldChar w:fldCharType="begin"/>
      </w:r>
      <w:r>
        <w:instrText xml:space="preserve"> HYPERLINK \l "_Toc12523" </w:instrText>
      </w:r>
      <w:r>
        <w:fldChar w:fldCharType="separate"/>
      </w:r>
      <w:r>
        <w:rPr>
          <w:rFonts w:hint="eastAsia" w:ascii="宋体" w:hAnsi="宋体"/>
          <w:kern w:val="0"/>
          <w:szCs w:val="24"/>
        </w:rPr>
        <w:t>第十五部分  基金的信息披露</w:t>
      </w:r>
      <w:r>
        <w:tab/>
      </w:r>
      <w:r>
        <w:fldChar w:fldCharType="begin"/>
      </w:r>
      <w:r>
        <w:instrText xml:space="preserve"> PAGEREF _Toc12523 </w:instrText>
      </w:r>
      <w:r>
        <w:fldChar w:fldCharType="separate"/>
      </w:r>
      <w:r>
        <w:t>65</w:t>
      </w:r>
      <w:r>
        <w:fldChar w:fldCharType="end"/>
      </w:r>
      <w:r>
        <w:fldChar w:fldCharType="end"/>
      </w:r>
    </w:p>
    <w:p>
      <w:pPr>
        <w:pStyle w:val="22"/>
        <w:tabs>
          <w:tab w:val="right" w:leader="dot" w:pos="8640"/>
          <w:tab w:val="clear" w:pos="8630"/>
        </w:tabs>
      </w:pPr>
      <w:r>
        <w:fldChar w:fldCharType="begin"/>
      </w:r>
      <w:r>
        <w:instrText xml:space="preserve"> HYPERLINK \l "_Toc3467" </w:instrText>
      </w:r>
      <w:r>
        <w:fldChar w:fldCharType="separate"/>
      </w:r>
      <w:r>
        <w:rPr>
          <w:rFonts w:hint="eastAsia" w:ascii="宋体" w:hAnsi="宋体"/>
          <w:kern w:val="0"/>
          <w:szCs w:val="24"/>
        </w:rPr>
        <w:t>第十六部分  基金的风险揭示</w:t>
      </w:r>
      <w:r>
        <w:tab/>
      </w:r>
      <w:r>
        <w:fldChar w:fldCharType="begin"/>
      </w:r>
      <w:r>
        <w:instrText xml:space="preserve"> PAGEREF _Toc3467 </w:instrText>
      </w:r>
      <w:r>
        <w:fldChar w:fldCharType="separate"/>
      </w:r>
      <w:r>
        <w:t>71</w:t>
      </w:r>
      <w:r>
        <w:fldChar w:fldCharType="end"/>
      </w:r>
      <w:r>
        <w:fldChar w:fldCharType="end"/>
      </w:r>
    </w:p>
    <w:p>
      <w:pPr>
        <w:pStyle w:val="22"/>
        <w:tabs>
          <w:tab w:val="right" w:leader="dot" w:pos="8640"/>
          <w:tab w:val="clear" w:pos="8630"/>
        </w:tabs>
      </w:pPr>
      <w:r>
        <w:fldChar w:fldCharType="begin"/>
      </w:r>
      <w:r>
        <w:instrText xml:space="preserve"> HYPERLINK \l "_Toc23741" </w:instrText>
      </w:r>
      <w:r>
        <w:fldChar w:fldCharType="separate"/>
      </w:r>
      <w:r>
        <w:rPr>
          <w:rFonts w:hint="eastAsia" w:ascii="宋体" w:hAnsi="宋体"/>
          <w:kern w:val="0"/>
          <w:szCs w:val="24"/>
        </w:rPr>
        <w:t>第十七部分  基金合同的变更、终止与基金财产的清算</w:t>
      </w:r>
      <w:r>
        <w:tab/>
      </w:r>
      <w:r>
        <w:fldChar w:fldCharType="begin"/>
      </w:r>
      <w:r>
        <w:instrText xml:space="preserve"> PAGEREF _Toc23741 </w:instrText>
      </w:r>
      <w:r>
        <w:fldChar w:fldCharType="separate"/>
      </w:r>
      <w:r>
        <w:t>74</w:t>
      </w:r>
      <w:r>
        <w:fldChar w:fldCharType="end"/>
      </w:r>
      <w:r>
        <w:fldChar w:fldCharType="end"/>
      </w:r>
    </w:p>
    <w:p>
      <w:pPr>
        <w:pStyle w:val="22"/>
        <w:tabs>
          <w:tab w:val="right" w:leader="dot" w:pos="8640"/>
          <w:tab w:val="clear" w:pos="8630"/>
        </w:tabs>
      </w:pPr>
      <w:r>
        <w:fldChar w:fldCharType="begin"/>
      </w:r>
      <w:r>
        <w:instrText xml:space="preserve"> HYPERLINK \l "_Toc3364" </w:instrText>
      </w:r>
      <w:r>
        <w:fldChar w:fldCharType="separate"/>
      </w:r>
      <w:r>
        <w:rPr>
          <w:rFonts w:hint="eastAsia" w:ascii="宋体" w:hAnsi="宋体"/>
          <w:kern w:val="0"/>
          <w:szCs w:val="24"/>
        </w:rPr>
        <w:t>第十八部分  基金合同的内容摘要</w:t>
      </w:r>
      <w:r>
        <w:tab/>
      </w:r>
      <w:r>
        <w:fldChar w:fldCharType="begin"/>
      </w:r>
      <w:r>
        <w:instrText xml:space="preserve"> PAGEREF _Toc3364 </w:instrText>
      </w:r>
      <w:r>
        <w:fldChar w:fldCharType="separate"/>
      </w:r>
      <w:r>
        <w:t>76</w:t>
      </w:r>
      <w:r>
        <w:fldChar w:fldCharType="end"/>
      </w:r>
      <w:r>
        <w:fldChar w:fldCharType="end"/>
      </w:r>
    </w:p>
    <w:p>
      <w:pPr>
        <w:pStyle w:val="22"/>
        <w:tabs>
          <w:tab w:val="right" w:leader="dot" w:pos="8640"/>
          <w:tab w:val="clear" w:pos="8630"/>
        </w:tabs>
      </w:pPr>
      <w:r>
        <w:fldChar w:fldCharType="begin"/>
      </w:r>
      <w:r>
        <w:instrText xml:space="preserve"> HYPERLINK \l "_Toc31339" </w:instrText>
      </w:r>
      <w:r>
        <w:fldChar w:fldCharType="separate"/>
      </w:r>
      <w:r>
        <w:rPr>
          <w:rFonts w:hint="eastAsia" w:ascii="宋体" w:hAnsi="宋体"/>
          <w:kern w:val="0"/>
          <w:szCs w:val="24"/>
        </w:rPr>
        <w:t>第十九部分  基金托管协议的内容摘要</w:t>
      </w:r>
      <w:r>
        <w:tab/>
      </w:r>
      <w:r>
        <w:fldChar w:fldCharType="begin"/>
      </w:r>
      <w:r>
        <w:instrText xml:space="preserve"> PAGEREF _Toc31339 </w:instrText>
      </w:r>
      <w:r>
        <w:fldChar w:fldCharType="separate"/>
      </w:r>
      <w:r>
        <w:t>92</w:t>
      </w:r>
      <w:r>
        <w:fldChar w:fldCharType="end"/>
      </w:r>
      <w:r>
        <w:fldChar w:fldCharType="end"/>
      </w:r>
    </w:p>
    <w:p>
      <w:pPr>
        <w:pStyle w:val="22"/>
        <w:tabs>
          <w:tab w:val="right" w:leader="dot" w:pos="8640"/>
          <w:tab w:val="clear" w:pos="8630"/>
        </w:tabs>
      </w:pPr>
      <w:r>
        <w:fldChar w:fldCharType="begin"/>
      </w:r>
      <w:r>
        <w:instrText xml:space="preserve"> HYPERLINK \l "_Toc28110" </w:instrText>
      </w:r>
      <w:r>
        <w:fldChar w:fldCharType="separate"/>
      </w:r>
      <w:r>
        <w:rPr>
          <w:rFonts w:hint="eastAsia" w:ascii="宋体" w:hAnsi="宋体"/>
          <w:kern w:val="0"/>
          <w:szCs w:val="24"/>
        </w:rPr>
        <w:t>第二十部分  对基金份额持有人的服务</w:t>
      </w:r>
      <w:r>
        <w:tab/>
      </w:r>
      <w:r>
        <w:fldChar w:fldCharType="begin"/>
      </w:r>
      <w:r>
        <w:instrText xml:space="preserve"> PAGEREF _Toc28110 </w:instrText>
      </w:r>
      <w:r>
        <w:fldChar w:fldCharType="separate"/>
      </w:r>
      <w:r>
        <w:t>109</w:t>
      </w:r>
      <w:r>
        <w:fldChar w:fldCharType="end"/>
      </w:r>
      <w:r>
        <w:fldChar w:fldCharType="end"/>
      </w:r>
    </w:p>
    <w:p>
      <w:pPr>
        <w:pStyle w:val="22"/>
        <w:tabs>
          <w:tab w:val="right" w:leader="dot" w:pos="8640"/>
          <w:tab w:val="clear" w:pos="8630"/>
        </w:tabs>
      </w:pPr>
      <w:r>
        <w:fldChar w:fldCharType="begin"/>
      </w:r>
      <w:r>
        <w:instrText xml:space="preserve"> HYPERLINK \l "_Toc32243" </w:instrText>
      </w:r>
      <w:r>
        <w:fldChar w:fldCharType="separate"/>
      </w:r>
      <w:r>
        <w:rPr>
          <w:rFonts w:hint="eastAsia" w:ascii="宋体" w:hAnsi="宋体"/>
          <w:kern w:val="0"/>
          <w:szCs w:val="24"/>
        </w:rPr>
        <w:t>第二十一部分  其他应披露事项</w:t>
      </w:r>
      <w:r>
        <w:tab/>
      </w:r>
      <w:r>
        <w:fldChar w:fldCharType="begin"/>
      </w:r>
      <w:r>
        <w:instrText xml:space="preserve"> PAGEREF _Toc32243 </w:instrText>
      </w:r>
      <w:r>
        <w:fldChar w:fldCharType="separate"/>
      </w:r>
      <w:r>
        <w:t>111</w:t>
      </w:r>
      <w:r>
        <w:fldChar w:fldCharType="end"/>
      </w:r>
      <w:r>
        <w:fldChar w:fldCharType="end"/>
      </w:r>
    </w:p>
    <w:p>
      <w:pPr>
        <w:pStyle w:val="22"/>
        <w:tabs>
          <w:tab w:val="right" w:leader="dot" w:pos="8640"/>
          <w:tab w:val="clear" w:pos="8630"/>
        </w:tabs>
      </w:pPr>
      <w:r>
        <w:fldChar w:fldCharType="begin"/>
      </w:r>
      <w:r>
        <w:instrText xml:space="preserve"> HYPERLINK \l "_Toc31436" </w:instrText>
      </w:r>
      <w:r>
        <w:fldChar w:fldCharType="separate"/>
      </w:r>
      <w:r>
        <w:rPr>
          <w:rFonts w:hint="eastAsia" w:ascii="宋体" w:hAnsi="宋体"/>
          <w:kern w:val="0"/>
          <w:szCs w:val="24"/>
        </w:rPr>
        <w:t>第二十二部分</w:t>
      </w:r>
      <w:r>
        <w:rPr>
          <w:rFonts w:ascii="宋体" w:hAnsi="宋体"/>
          <w:kern w:val="0"/>
          <w:szCs w:val="24"/>
        </w:rPr>
        <w:t xml:space="preserve">  </w:t>
      </w:r>
      <w:r>
        <w:rPr>
          <w:rFonts w:hint="eastAsia" w:ascii="宋体" w:hAnsi="宋体"/>
          <w:kern w:val="0"/>
          <w:szCs w:val="24"/>
        </w:rPr>
        <w:t>招募说明书存放及查阅方式</w:t>
      </w:r>
      <w:r>
        <w:tab/>
      </w:r>
      <w:r>
        <w:fldChar w:fldCharType="begin"/>
      </w:r>
      <w:r>
        <w:instrText xml:space="preserve"> PAGEREF _Toc31436 </w:instrText>
      </w:r>
      <w:r>
        <w:fldChar w:fldCharType="separate"/>
      </w:r>
      <w:r>
        <w:t>112</w:t>
      </w:r>
      <w:r>
        <w:fldChar w:fldCharType="end"/>
      </w:r>
      <w:r>
        <w:fldChar w:fldCharType="end"/>
      </w:r>
    </w:p>
    <w:p>
      <w:pPr>
        <w:pStyle w:val="22"/>
        <w:tabs>
          <w:tab w:val="right" w:leader="dot" w:pos="8640"/>
          <w:tab w:val="clear" w:pos="8630"/>
        </w:tabs>
      </w:pPr>
      <w:r>
        <w:fldChar w:fldCharType="begin"/>
      </w:r>
      <w:r>
        <w:instrText xml:space="preserve"> HYPERLINK \l "_Toc30681" </w:instrText>
      </w:r>
      <w:r>
        <w:fldChar w:fldCharType="separate"/>
      </w:r>
      <w:r>
        <w:rPr>
          <w:rFonts w:hint="eastAsia" w:ascii="宋体" w:hAnsi="宋体"/>
          <w:kern w:val="0"/>
          <w:szCs w:val="24"/>
        </w:rPr>
        <w:t>第二十三部分</w:t>
      </w:r>
      <w:r>
        <w:rPr>
          <w:rFonts w:ascii="宋体" w:hAnsi="宋体"/>
          <w:kern w:val="0"/>
          <w:szCs w:val="24"/>
        </w:rPr>
        <w:t xml:space="preserve">  </w:t>
      </w:r>
      <w:r>
        <w:rPr>
          <w:rFonts w:hint="eastAsia" w:ascii="宋体" w:hAnsi="宋体"/>
          <w:kern w:val="0"/>
          <w:szCs w:val="24"/>
        </w:rPr>
        <w:t>备查文件</w:t>
      </w:r>
      <w:r>
        <w:tab/>
      </w:r>
      <w:r>
        <w:fldChar w:fldCharType="begin"/>
      </w:r>
      <w:r>
        <w:instrText xml:space="preserve"> PAGEREF _Toc30681 </w:instrText>
      </w:r>
      <w:r>
        <w:fldChar w:fldCharType="separate"/>
      </w:r>
      <w:r>
        <w:t>112</w:t>
      </w:r>
      <w:r>
        <w:fldChar w:fldCharType="end"/>
      </w:r>
      <w:r>
        <w:fldChar w:fldCharType="end"/>
      </w:r>
    </w:p>
    <w:p>
      <w:pPr>
        <w:pStyle w:val="2"/>
        <w:spacing w:line="360" w:lineRule="auto"/>
        <w:jc w:val="center"/>
        <w:rPr>
          <w:rFonts w:ascii="宋体" w:hAnsi="宋体"/>
          <w:color w:val="000000"/>
          <w:kern w:val="0"/>
          <w:sz w:val="24"/>
          <w:szCs w:val="24"/>
        </w:rPr>
      </w:pPr>
      <w:r>
        <w:rPr>
          <w:b w:val="0"/>
          <w:bCs w:val="0"/>
          <w:color w:val="0D0D0D"/>
          <w:sz w:val="22"/>
          <w:szCs w:val="22"/>
        </w:rPr>
        <w:fldChar w:fldCharType="end"/>
      </w:r>
      <w:bookmarkStart w:id="2" w:name="_Toc24615"/>
      <w:bookmarkStart w:id="3" w:name="_Toc28809"/>
      <w:r>
        <w:rPr>
          <w:rFonts w:ascii="宋体" w:hAnsi="宋体"/>
          <w:b w:val="0"/>
          <w:color w:val="000000"/>
          <w:sz w:val="24"/>
        </w:rPr>
        <w:br w:type="page"/>
      </w:r>
      <w:bookmarkStart w:id="4" w:name="_Toc256666910"/>
      <w:bookmarkStart w:id="5" w:name="_Toc482624789"/>
      <w:bookmarkStart w:id="6" w:name="_Toc256666782"/>
      <w:r>
        <w:rPr>
          <w:rFonts w:hint="eastAsia" w:ascii="宋体" w:hAnsi="宋体"/>
          <w:color w:val="000000"/>
          <w:kern w:val="0"/>
          <w:sz w:val="24"/>
          <w:szCs w:val="24"/>
        </w:rPr>
        <w:t>第一部分  绪言</w:t>
      </w:r>
      <w:bookmarkEnd w:id="2"/>
      <w:bookmarkEnd w:id="3"/>
      <w:bookmarkEnd w:id="4"/>
      <w:bookmarkEnd w:id="5"/>
      <w:bookmarkEnd w:id="6"/>
    </w:p>
    <w:p>
      <w:pPr>
        <w:spacing w:line="360" w:lineRule="auto"/>
        <w:ind w:firstLine="480" w:firstLineChars="200"/>
        <w:rPr>
          <w:rFonts w:ascii="宋体" w:hAnsi="宋体"/>
          <w:color w:val="000000"/>
          <w:kern w:val="0"/>
          <w:sz w:val="24"/>
        </w:rPr>
      </w:pPr>
      <w:r>
        <w:rPr>
          <w:rFonts w:hint="eastAsia" w:ascii="宋体" w:hAnsi="宋体"/>
          <w:color w:val="000000"/>
          <w:kern w:val="0"/>
          <w:sz w:val="24"/>
        </w:rPr>
        <w:t>《</w:t>
      </w:r>
      <w:r>
        <w:rPr>
          <w:rFonts w:hint="eastAsia"/>
          <w:bCs/>
          <w:sz w:val="24"/>
        </w:rPr>
        <w:t>富荣货币市场基金</w:t>
      </w:r>
      <w:r>
        <w:rPr>
          <w:rFonts w:hint="eastAsia" w:ascii="宋体" w:hAnsi="宋体"/>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hint="eastAsia" w:ascii="宋体" w:hAnsi="宋体"/>
          <w:color w:val="000000"/>
          <w:kern w:val="0"/>
          <w:sz w:val="24"/>
        </w:rPr>
        <w:t>）、《公开募集证券投资基金运作管理办法》（以下简称“《运作办法》”）、《证券投资基金销售管理办法》（以下简称“《销售办法》”）、《证券投资基金信息披露管理办法》（以下简称“《信息披露办法》”）、</w:t>
      </w:r>
      <w:r>
        <w:rPr>
          <w:rFonts w:ascii="宋体" w:hAnsi="宋体"/>
          <w:color w:val="000000"/>
          <w:kern w:val="0"/>
          <w:sz w:val="24"/>
        </w:rPr>
        <w:t>《</w:t>
      </w:r>
      <w:r>
        <w:rPr>
          <w:rFonts w:hint="eastAsia" w:ascii="宋体" w:hAnsi="宋体"/>
          <w:color w:val="000000"/>
          <w:kern w:val="0"/>
          <w:sz w:val="24"/>
        </w:rPr>
        <w:t>货币市场</w:t>
      </w:r>
      <w:r>
        <w:rPr>
          <w:rFonts w:ascii="宋体" w:hAnsi="宋体"/>
          <w:color w:val="000000"/>
          <w:kern w:val="0"/>
          <w:sz w:val="24"/>
        </w:rPr>
        <w:t>基金监督管理办法》</w:t>
      </w:r>
      <w:r>
        <w:rPr>
          <w:rFonts w:hint="eastAsia" w:ascii="宋体" w:hAnsi="宋体"/>
          <w:color w:val="000000"/>
          <w:kern w:val="0"/>
          <w:sz w:val="24"/>
        </w:rPr>
        <w:t>、</w:t>
      </w:r>
      <w:r>
        <w:rPr>
          <w:rFonts w:ascii="宋体" w:hAnsi="宋体"/>
          <w:color w:val="000000"/>
          <w:kern w:val="0"/>
          <w:sz w:val="24"/>
        </w:rPr>
        <w:t>《</w:t>
      </w:r>
      <w:r>
        <w:rPr>
          <w:rFonts w:hint="eastAsia" w:ascii="宋体" w:hAnsi="宋体"/>
          <w:color w:val="000000"/>
          <w:kern w:val="0"/>
          <w:sz w:val="24"/>
        </w:rPr>
        <w:t>关于</w:t>
      </w:r>
      <w:r>
        <w:rPr>
          <w:rFonts w:ascii="宋体" w:hAnsi="宋体"/>
          <w:color w:val="000000"/>
          <w:kern w:val="0"/>
          <w:sz w:val="24"/>
        </w:rPr>
        <w:t>实施</w:t>
      </w:r>
      <w:r>
        <w:rPr>
          <w:rFonts w:hint="eastAsia" w:ascii="宋体" w:hAnsi="宋体"/>
          <w:color w:val="000000"/>
          <w:kern w:val="0"/>
          <w:sz w:val="24"/>
        </w:rPr>
        <w:t>&lt;货币</w:t>
      </w:r>
      <w:r>
        <w:rPr>
          <w:rFonts w:ascii="宋体" w:hAnsi="宋体"/>
          <w:color w:val="000000"/>
          <w:kern w:val="0"/>
          <w:sz w:val="24"/>
        </w:rPr>
        <w:t>市场基金监督管理办法</w:t>
      </w:r>
      <w:r>
        <w:rPr>
          <w:rFonts w:hint="eastAsia" w:ascii="宋体" w:hAnsi="宋体"/>
          <w:color w:val="000000"/>
          <w:kern w:val="0"/>
          <w:sz w:val="24"/>
        </w:rPr>
        <w:t>&gt;有关问题</w:t>
      </w:r>
      <w:r>
        <w:rPr>
          <w:rFonts w:ascii="宋体" w:hAnsi="宋体"/>
          <w:color w:val="000000"/>
          <w:kern w:val="0"/>
          <w:sz w:val="24"/>
        </w:rPr>
        <w:t>的规定》</w:t>
      </w:r>
      <w:r>
        <w:rPr>
          <w:rFonts w:hint="eastAsia" w:ascii="宋体" w:hAnsi="宋体"/>
          <w:color w:val="000000"/>
          <w:kern w:val="0"/>
          <w:sz w:val="24"/>
        </w:rPr>
        <w:t>、</w:t>
      </w:r>
      <w:r>
        <w:rPr>
          <w:rFonts w:ascii="宋体" w:hAnsi="宋体"/>
          <w:color w:val="000000"/>
          <w:kern w:val="0"/>
          <w:sz w:val="24"/>
        </w:rPr>
        <w:t>《</w:t>
      </w:r>
      <w:r>
        <w:rPr>
          <w:rFonts w:hint="eastAsia" w:ascii="宋体" w:hAnsi="宋体"/>
          <w:color w:val="000000"/>
          <w:kern w:val="0"/>
          <w:sz w:val="24"/>
        </w:rPr>
        <w:t>证券</w:t>
      </w:r>
      <w:r>
        <w:rPr>
          <w:rFonts w:ascii="宋体" w:hAnsi="宋体"/>
          <w:color w:val="000000"/>
          <w:kern w:val="0"/>
          <w:sz w:val="24"/>
        </w:rPr>
        <w:t>投资基金信息披露编报规则第</w:t>
      </w:r>
      <w:r>
        <w:rPr>
          <w:rFonts w:hint="eastAsia" w:ascii="宋体" w:hAnsi="宋体"/>
          <w:color w:val="000000"/>
          <w:kern w:val="0"/>
          <w:sz w:val="24"/>
        </w:rPr>
        <w:t>5号&lt;货币市场</w:t>
      </w:r>
      <w:r>
        <w:rPr>
          <w:rFonts w:ascii="宋体" w:hAnsi="宋体"/>
          <w:color w:val="000000"/>
          <w:kern w:val="0"/>
          <w:sz w:val="24"/>
        </w:rPr>
        <w:t>基金信息披露特别规定</w:t>
      </w:r>
      <w:r>
        <w:rPr>
          <w:rFonts w:hint="eastAsia" w:ascii="宋体" w:hAnsi="宋体"/>
          <w:color w:val="000000"/>
          <w:kern w:val="0"/>
          <w:sz w:val="24"/>
        </w:rPr>
        <w:t>&gt;</w:t>
      </w:r>
      <w:r>
        <w:rPr>
          <w:rFonts w:ascii="宋体" w:hAnsi="宋体"/>
          <w:color w:val="000000"/>
          <w:kern w:val="0"/>
          <w:sz w:val="24"/>
        </w:rPr>
        <w:t>》</w:t>
      </w:r>
      <w:r>
        <w:rPr>
          <w:rFonts w:hint="eastAsia" w:ascii="宋体" w:hAnsi="宋体"/>
          <w:color w:val="000000"/>
          <w:kern w:val="0"/>
          <w:sz w:val="24"/>
        </w:rPr>
        <w:t>和其他有关法律法规及《</w:t>
      </w:r>
      <w:r>
        <w:rPr>
          <w:rFonts w:hint="eastAsia"/>
          <w:bCs/>
          <w:sz w:val="24"/>
        </w:rPr>
        <w:t>富荣货币市场基金</w:t>
      </w:r>
      <w:r>
        <w:rPr>
          <w:rFonts w:hint="eastAsia" w:ascii="宋体" w:hAnsi="宋体"/>
          <w:color w:val="000000"/>
          <w:kern w:val="0"/>
          <w:sz w:val="24"/>
        </w:rPr>
        <w:t>基金合同》（以下简称“《基金合同》”）编写。</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本招募说明书阐述了</w:t>
      </w:r>
      <w:r>
        <w:rPr>
          <w:rFonts w:hint="eastAsia"/>
          <w:bCs/>
          <w:sz w:val="24"/>
        </w:rPr>
        <w:t>富荣货币市场基金</w:t>
      </w:r>
      <w:r>
        <w:rPr>
          <w:rFonts w:hint="eastAsia" w:ascii="宋体" w:hAnsi="宋体"/>
          <w:color w:val="000000"/>
          <w:kern w:val="0"/>
          <w:sz w:val="24"/>
        </w:rPr>
        <w:t>的投资目标、策略、风险、费率等与投资者投资决策有关的全部必要事项，投资者在作出投资决策前应仔细阅读本招募说明书。</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本基金管理人承诺本招募说明书不存在任何虚假记载、误导性陈述或重大遗漏，并对其真实性、准确性、完整性承担法律责任。</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基金根据本招募说明书所载明资料申请募集。本招募说明书由富荣基金管理有限公司解释。本基金管理人没有委托或授权任何其他人提供未在本招募说明书中载明的信息，或对本招募说明书作出任何解释或者说明。</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本招募说明书依据《基金合同》编写，并经中国证券</w:t>
      </w:r>
      <w:r>
        <w:rPr>
          <w:rFonts w:ascii="宋体" w:hAnsi="宋体"/>
          <w:color w:val="000000"/>
          <w:kern w:val="0"/>
          <w:sz w:val="24"/>
        </w:rPr>
        <w:t>监督管理委员会（以下简称“</w:t>
      </w:r>
      <w:r>
        <w:rPr>
          <w:rFonts w:hint="eastAsia" w:ascii="宋体" w:hAnsi="宋体"/>
          <w:color w:val="000000"/>
          <w:kern w:val="0"/>
          <w:sz w:val="24"/>
        </w:rPr>
        <w:t>中国</w:t>
      </w:r>
      <w:r>
        <w:rPr>
          <w:rFonts w:ascii="宋体" w:hAnsi="宋体"/>
          <w:color w:val="000000"/>
          <w:kern w:val="0"/>
          <w:sz w:val="24"/>
        </w:rPr>
        <w:t>证监会”</w:t>
      </w:r>
      <w:r>
        <w:rPr>
          <w:rFonts w:hint="eastAsia" w:ascii="宋体" w:hAnsi="宋体"/>
          <w:color w:val="000000"/>
          <w:kern w:val="0"/>
          <w:sz w:val="24"/>
        </w:rPr>
        <w:t>）</w:t>
      </w:r>
      <w:r>
        <w:rPr>
          <w:rFonts w:ascii="宋体" w:hAnsi="宋体"/>
          <w:color w:val="000000"/>
          <w:kern w:val="0"/>
          <w:sz w:val="24"/>
        </w:rPr>
        <w:t>注册</w:t>
      </w:r>
      <w:r>
        <w:rPr>
          <w:rFonts w:hint="eastAsia" w:ascii="宋体" w:hAnsi="宋体"/>
          <w:color w:val="000000"/>
          <w:kern w:val="0"/>
          <w:sz w:val="24"/>
        </w:rPr>
        <w:t>。《基金合同》是约定《基金合同》当事人之间权利、义务的法律文件。投资者自依《基金合同》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pPr>
        <w:spacing w:line="360" w:lineRule="auto"/>
        <w:ind w:firstLine="480" w:firstLineChars="200"/>
        <w:rPr>
          <w:rFonts w:ascii="宋体" w:hAnsi="宋体"/>
          <w:color w:val="000000"/>
          <w:kern w:val="0"/>
          <w:sz w:val="24"/>
        </w:rPr>
      </w:pPr>
    </w:p>
    <w:p>
      <w:pPr>
        <w:pStyle w:val="2"/>
        <w:spacing w:line="360" w:lineRule="auto"/>
        <w:jc w:val="center"/>
        <w:rPr>
          <w:rFonts w:ascii="宋体" w:hAnsi="宋体"/>
          <w:color w:val="000000"/>
          <w:kern w:val="0"/>
          <w:sz w:val="24"/>
          <w:szCs w:val="24"/>
        </w:rPr>
      </w:pPr>
      <w:r>
        <w:rPr>
          <w:rFonts w:ascii="宋体" w:hAnsi="宋体"/>
          <w:color w:val="000000"/>
          <w:kern w:val="0"/>
          <w:sz w:val="24"/>
        </w:rPr>
        <w:br w:type="page"/>
      </w:r>
      <w:bookmarkStart w:id="7" w:name="_Toc256666911"/>
      <w:bookmarkStart w:id="8" w:name="_Toc28826"/>
      <w:bookmarkStart w:id="9" w:name="_Toc482624790"/>
      <w:bookmarkStart w:id="10" w:name="_Toc20158"/>
      <w:bookmarkStart w:id="11" w:name="_Toc256666783"/>
      <w:r>
        <w:rPr>
          <w:rFonts w:hint="eastAsia" w:ascii="宋体" w:hAnsi="宋体"/>
          <w:color w:val="000000"/>
          <w:kern w:val="0"/>
          <w:sz w:val="24"/>
          <w:szCs w:val="24"/>
        </w:rPr>
        <w:t>第二部分  释义</w:t>
      </w:r>
      <w:bookmarkEnd w:id="7"/>
      <w:bookmarkEnd w:id="8"/>
      <w:bookmarkEnd w:id="9"/>
      <w:bookmarkEnd w:id="10"/>
      <w:bookmarkEnd w:id="11"/>
    </w:p>
    <w:p>
      <w:pPr>
        <w:spacing w:line="360" w:lineRule="auto"/>
        <w:ind w:firstLine="480" w:firstLineChars="200"/>
        <w:rPr>
          <w:rFonts w:ascii="宋体" w:hAnsi="宋体"/>
          <w:color w:val="000000"/>
          <w:kern w:val="0"/>
          <w:sz w:val="24"/>
        </w:rPr>
      </w:pPr>
      <w:r>
        <w:rPr>
          <w:rFonts w:hint="eastAsia" w:ascii="宋体" w:hAnsi="宋体"/>
          <w:color w:val="000000"/>
          <w:kern w:val="0"/>
          <w:sz w:val="24"/>
        </w:rPr>
        <w:t>本招募说明书中除非文意另有所指，下列词语具有如下含义：</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hint="eastAsia" w:ascii="宋体" w:hAnsi="宋体"/>
          <w:color w:val="000000"/>
          <w:kern w:val="0"/>
          <w:sz w:val="24"/>
        </w:rPr>
        <w:t>：</w:t>
      </w:r>
      <w:r>
        <w:rPr>
          <w:rFonts w:ascii="宋体" w:hAnsi="宋体"/>
          <w:color w:val="000000"/>
          <w:kern w:val="0"/>
          <w:sz w:val="24"/>
        </w:rPr>
        <w:t>指</w:t>
      </w:r>
      <w:r>
        <w:rPr>
          <w:rFonts w:hint="eastAsia"/>
          <w:bCs/>
          <w:sz w:val="24"/>
        </w:rPr>
        <w:t>富荣货币市场基金</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基金管理人：指</w:t>
      </w:r>
      <w:r>
        <w:rPr>
          <w:rFonts w:hint="eastAsia" w:ascii="宋体" w:hAnsi="宋体"/>
          <w:color w:val="000000"/>
          <w:kern w:val="0"/>
          <w:sz w:val="24"/>
        </w:rPr>
        <w:t>富荣基金管理有限公司</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hint="eastAsia" w:ascii="宋体" w:hAnsi="宋体"/>
          <w:color w:val="000000"/>
          <w:kern w:val="0"/>
          <w:sz w:val="24"/>
        </w:rPr>
        <w:t>中国光大银行股份有限公司</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基金合同：指《富荣货币市场基金基金合同》及对基金合同的任何有效修订和补充</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hint="eastAsia" w:ascii="宋体" w:hAnsi="宋体"/>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hint="eastAsia" w:ascii="宋体" w:hAnsi="宋体"/>
          <w:color w:val="000000"/>
          <w:kern w:val="0"/>
          <w:sz w:val="24"/>
        </w:rPr>
        <w:t>托管</w:t>
      </w:r>
      <w:r>
        <w:rPr>
          <w:rFonts w:ascii="宋体" w:hAnsi="宋体"/>
          <w:color w:val="000000"/>
          <w:kern w:val="0"/>
          <w:sz w:val="24"/>
        </w:rPr>
        <w:t>协议的任何有效修订和补充</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hint="eastAsia" w:ascii="宋体" w:hAnsi="宋体"/>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hint="eastAsia" w:ascii="宋体" w:hAnsi="宋体"/>
          <w:color w:val="000000"/>
          <w:kern w:val="0"/>
          <w:sz w:val="24"/>
        </w:rPr>
        <w:t>及其定期的更新</w:t>
      </w:r>
    </w:p>
    <w:p>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hint="eastAsia" w:ascii="宋体" w:hAnsi="宋体"/>
          <w:color w:val="000000"/>
          <w:kern w:val="0"/>
          <w:sz w:val="24"/>
        </w:rPr>
        <w:t>：</w:t>
      </w:r>
      <w:r>
        <w:rPr>
          <w:rFonts w:ascii="宋体" w:hAnsi="宋体"/>
          <w:color w:val="000000"/>
          <w:kern w:val="0"/>
          <w:sz w:val="24"/>
        </w:rPr>
        <w:t>指《</w:t>
      </w:r>
      <w:r>
        <w:rPr>
          <w:rFonts w:hint="eastAsia"/>
          <w:bCs/>
          <w:sz w:val="24"/>
        </w:rPr>
        <w:t>富荣货币市场基金</w:t>
      </w:r>
      <w:r>
        <w:rPr>
          <w:rFonts w:hint="eastAsia" w:ascii="宋体" w:hAnsi="宋体"/>
          <w:color w:val="000000"/>
          <w:kern w:val="0"/>
          <w:sz w:val="24"/>
        </w:rPr>
        <w:t>基金</w:t>
      </w:r>
      <w:r>
        <w:rPr>
          <w:rFonts w:ascii="宋体" w:hAnsi="宋体"/>
          <w:color w:val="000000"/>
          <w:kern w:val="0"/>
          <w:sz w:val="24"/>
        </w:rPr>
        <w:t>份额发售公告》</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hint="eastAsia" w:ascii="宋体" w:hAnsi="宋体"/>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《销售办法》：指中国证监会2013年3月15日颁布，同年6月1日起实施的《证券投资基金销售管理办法》及颁布机关对其不时做出的修订</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《信息披露办法》：指</w:t>
      </w:r>
      <w:r>
        <w:rPr>
          <w:rFonts w:hint="eastAsia" w:ascii="宋体" w:hAnsi="宋体"/>
          <w:color w:val="000000"/>
          <w:kern w:val="0"/>
          <w:sz w:val="24"/>
        </w:rPr>
        <w:t>中国证监会2004年6月8日颁布、同年7月1日实施的</w:t>
      </w:r>
      <w:r>
        <w:rPr>
          <w:rFonts w:ascii="宋体" w:hAnsi="宋体"/>
          <w:color w:val="000000"/>
          <w:kern w:val="0"/>
          <w:sz w:val="24"/>
        </w:rPr>
        <w:t>《证券投资基金信息披露管理办法》</w:t>
      </w:r>
      <w:r>
        <w:rPr>
          <w:rFonts w:hint="eastAsia" w:ascii="宋体" w:hAnsi="宋体"/>
          <w:color w:val="000000"/>
          <w:kern w:val="0"/>
          <w:sz w:val="24"/>
        </w:rPr>
        <w:t>及颁布机关对其不时做出的修订</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hint="eastAsia" w:ascii="宋体" w:hAnsi="宋体"/>
          <w:color w:val="000000"/>
          <w:kern w:val="0"/>
          <w:sz w:val="24"/>
        </w:rPr>
        <w:t>：指中国证监会2014年7月7日颁布、同年8月8日实施的《公开募集证券投资基金运作管理办法》及颁布机关对其不时做出的修订</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hint="eastAsia" w:ascii="宋体" w:hAnsi="宋体"/>
          <w:color w:val="000000"/>
          <w:kern w:val="0"/>
          <w:sz w:val="24"/>
        </w:rPr>
        <w:t>：</w:t>
      </w:r>
      <w:r>
        <w:rPr>
          <w:rFonts w:ascii="宋体" w:hAnsi="宋体"/>
          <w:color w:val="000000"/>
          <w:kern w:val="0"/>
          <w:sz w:val="24"/>
        </w:rPr>
        <w:t>指中国证券监督管理委员会</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hint="eastAsia" w:ascii="宋体" w:hAnsi="宋体"/>
          <w:color w:val="000000"/>
          <w:kern w:val="0"/>
          <w:sz w:val="24"/>
        </w:rPr>
        <w:t>：</w:t>
      </w:r>
      <w:r>
        <w:rPr>
          <w:rFonts w:ascii="宋体" w:hAnsi="宋体"/>
          <w:color w:val="000000"/>
          <w:kern w:val="0"/>
          <w:sz w:val="24"/>
        </w:rPr>
        <w:t>指中国人民银行和/或中国银行业监督管理委员会</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hint="eastAsia" w:ascii="宋体" w:hAnsi="宋体"/>
          <w:color w:val="000000"/>
          <w:kern w:val="0"/>
          <w:sz w:val="24"/>
        </w:rPr>
        <w:t>《</w:t>
      </w:r>
      <w:r>
        <w:rPr>
          <w:rFonts w:ascii="宋体" w:hAnsi="宋体"/>
          <w:color w:val="000000"/>
          <w:kern w:val="0"/>
          <w:sz w:val="24"/>
        </w:rPr>
        <w:t>基金合同</w:t>
      </w:r>
      <w:r>
        <w:rPr>
          <w:rFonts w:hint="eastAsia" w:ascii="宋体" w:hAnsi="宋体"/>
          <w:color w:val="000000"/>
          <w:kern w:val="0"/>
          <w:sz w:val="24"/>
        </w:rPr>
        <w:t>》</w:t>
      </w:r>
      <w:r>
        <w:rPr>
          <w:rFonts w:ascii="宋体" w:hAnsi="宋体"/>
          <w:color w:val="000000"/>
          <w:kern w:val="0"/>
          <w:sz w:val="24"/>
        </w:rPr>
        <w:t>约束，根据</w:t>
      </w:r>
      <w:r>
        <w:rPr>
          <w:rFonts w:hint="eastAsia" w:ascii="宋体" w:hAnsi="宋体"/>
          <w:color w:val="000000"/>
          <w:kern w:val="0"/>
          <w:sz w:val="24"/>
        </w:rPr>
        <w:t>《</w:t>
      </w:r>
      <w:r>
        <w:rPr>
          <w:rFonts w:ascii="宋体" w:hAnsi="宋体"/>
          <w:color w:val="000000"/>
          <w:kern w:val="0"/>
          <w:sz w:val="24"/>
        </w:rPr>
        <w:t>基金合同</w:t>
      </w:r>
      <w:r>
        <w:rPr>
          <w:rFonts w:hint="eastAsia" w:ascii="宋体" w:hAnsi="宋体"/>
          <w:color w:val="000000"/>
          <w:kern w:val="0"/>
          <w:sz w:val="24"/>
        </w:rPr>
        <w:t>》</w:t>
      </w:r>
      <w:r>
        <w:rPr>
          <w:rFonts w:ascii="宋体" w:hAnsi="宋体"/>
          <w:color w:val="000000"/>
          <w:kern w:val="0"/>
          <w:sz w:val="24"/>
        </w:rPr>
        <w:t>享有权利并承担义务的</w:t>
      </w:r>
      <w:r>
        <w:rPr>
          <w:rFonts w:hint="eastAsia" w:ascii="宋体" w:hAnsi="宋体"/>
          <w:color w:val="000000"/>
          <w:kern w:val="0"/>
          <w:sz w:val="24"/>
        </w:rPr>
        <w:t>法律主体，包括</w:t>
      </w:r>
      <w:r>
        <w:rPr>
          <w:rFonts w:ascii="宋体" w:hAnsi="宋体"/>
          <w:color w:val="000000"/>
          <w:kern w:val="0"/>
          <w:sz w:val="24"/>
        </w:rPr>
        <w:t>基金管理人、基金托管人和基金份额持有人</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个人投资者：指依据有关法律法规规定可投资于证券投资基金的自然人</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hint="eastAsia" w:ascii="宋体" w:hAnsi="宋体"/>
          <w:color w:val="000000"/>
          <w:kern w:val="0"/>
          <w:sz w:val="24"/>
        </w:rPr>
        <w:t>的</w:t>
      </w:r>
      <w:r>
        <w:rPr>
          <w:rFonts w:ascii="宋体" w:hAnsi="宋体"/>
          <w:color w:val="000000"/>
          <w:kern w:val="0"/>
          <w:sz w:val="24"/>
        </w:rPr>
        <w:t>、在中华人民共和国境内合法登记</w:t>
      </w:r>
      <w:r>
        <w:rPr>
          <w:rFonts w:hint="eastAsia" w:ascii="宋体" w:hAnsi="宋体"/>
          <w:color w:val="000000"/>
          <w:kern w:val="0"/>
          <w:sz w:val="24"/>
        </w:rPr>
        <w:t>并存续</w:t>
      </w:r>
      <w:r>
        <w:rPr>
          <w:rFonts w:ascii="宋体" w:hAnsi="宋体"/>
          <w:color w:val="000000"/>
          <w:kern w:val="0"/>
          <w:sz w:val="24"/>
        </w:rPr>
        <w:t>或经有关政府部门批准设立</w:t>
      </w:r>
      <w:r>
        <w:rPr>
          <w:rFonts w:hint="eastAsia" w:ascii="宋体" w:hAnsi="宋体"/>
          <w:color w:val="000000"/>
          <w:kern w:val="0"/>
          <w:sz w:val="24"/>
        </w:rPr>
        <w:t>并存续</w:t>
      </w:r>
      <w:r>
        <w:rPr>
          <w:rFonts w:ascii="宋体" w:hAnsi="宋体"/>
          <w:color w:val="000000"/>
          <w:kern w:val="0"/>
          <w:sz w:val="24"/>
        </w:rPr>
        <w:t>的企业法人、事业法人、社会团体或其他组织</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hint="eastAsia" w:ascii="宋体" w:hAnsi="宋体"/>
          <w:color w:val="000000"/>
          <w:kern w:val="0"/>
          <w:sz w:val="24"/>
        </w:rPr>
        <w:t>：指符合</w:t>
      </w:r>
      <w:r>
        <w:rPr>
          <w:rFonts w:hint="eastAsia" w:ascii="宋体" w:hAnsi="宋体"/>
          <w:bCs/>
          <w:sz w:val="24"/>
        </w:rPr>
        <w:t>《合格境外机构投资者境内证券投资管理办法》及</w:t>
      </w:r>
      <w:r>
        <w:rPr>
          <w:rFonts w:hint="eastAsia" w:ascii="宋体" w:hAnsi="宋体"/>
          <w:color w:val="000000"/>
          <w:kern w:val="0"/>
          <w:sz w:val="24"/>
        </w:rPr>
        <w:t>相关法律法规规定可以投资于在中国境内依法募集的证券投资基金的中国境外的机构投资者</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hint="eastAsia" w:ascii="宋体" w:hAnsi="宋体"/>
          <w:color w:val="000000"/>
          <w:kern w:val="0"/>
          <w:sz w:val="24"/>
        </w:rPr>
        <w:t>人、</w:t>
      </w:r>
      <w:r>
        <w:rPr>
          <w:rFonts w:ascii="宋体" w:hAnsi="宋体"/>
          <w:color w:val="000000"/>
          <w:kern w:val="0"/>
          <w:sz w:val="24"/>
        </w:rPr>
        <w:t>投资者：指个人投资者、机构投资者</w:t>
      </w:r>
      <w:r>
        <w:rPr>
          <w:rFonts w:hint="eastAsia" w:ascii="宋体" w:hAnsi="宋体"/>
          <w:color w:val="000000"/>
          <w:kern w:val="0"/>
          <w:sz w:val="24"/>
        </w:rPr>
        <w:t>、</w:t>
      </w:r>
      <w:r>
        <w:rPr>
          <w:rFonts w:ascii="宋体" w:hAnsi="宋体"/>
          <w:color w:val="000000"/>
          <w:kern w:val="0"/>
          <w:sz w:val="24"/>
        </w:rPr>
        <w:t>合格境外机构投资者</w:t>
      </w:r>
      <w:r>
        <w:rPr>
          <w:rFonts w:hint="eastAsia" w:ascii="宋体" w:hAnsi="宋体"/>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hint="eastAsia" w:ascii="宋体" w:hAnsi="宋体"/>
          <w:color w:val="000000"/>
          <w:kern w:val="0"/>
          <w:sz w:val="24"/>
        </w:rPr>
        <w:t>和</w:t>
      </w:r>
      <w:r>
        <w:rPr>
          <w:rFonts w:ascii="宋体" w:hAnsi="宋体"/>
          <w:color w:val="000000"/>
          <w:kern w:val="0"/>
          <w:sz w:val="24"/>
        </w:rPr>
        <w:t>招募说明书</w:t>
      </w:r>
      <w:r>
        <w:rPr>
          <w:rFonts w:hint="eastAsia" w:ascii="宋体" w:hAnsi="宋体"/>
          <w:color w:val="000000"/>
          <w:kern w:val="0"/>
          <w:sz w:val="24"/>
        </w:rPr>
        <w:t>合法</w:t>
      </w:r>
      <w:r>
        <w:rPr>
          <w:rFonts w:ascii="宋体" w:hAnsi="宋体"/>
          <w:color w:val="000000"/>
          <w:kern w:val="0"/>
          <w:sz w:val="24"/>
        </w:rPr>
        <w:t>取得基金份额的投资</w:t>
      </w:r>
      <w:r>
        <w:rPr>
          <w:rFonts w:hint="eastAsia" w:ascii="宋体" w:hAnsi="宋体"/>
          <w:color w:val="000000"/>
          <w:kern w:val="0"/>
          <w:sz w:val="24"/>
        </w:rPr>
        <w:t>人</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hint="eastAsia" w:ascii="宋体" w:hAnsi="宋体"/>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hint="eastAsia" w:ascii="宋体" w:hAnsi="宋体"/>
          <w:color w:val="000000"/>
          <w:kern w:val="0"/>
          <w:sz w:val="24"/>
        </w:rPr>
        <w:t>：</w:t>
      </w:r>
      <w:r>
        <w:rPr>
          <w:rFonts w:ascii="宋体" w:hAnsi="宋体"/>
          <w:bCs/>
          <w:color w:val="000000"/>
          <w:kern w:val="0"/>
          <w:sz w:val="24"/>
        </w:rPr>
        <w:t>指</w:t>
      </w:r>
      <w:r>
        <w:rPr>
          <w:rFonts w:hint="eastAsia" w:ascii="宋体" w:hAnsi="宋体"/>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hint="eastAsia" w:ascii="宋体" w:hAnsi="宋体"/>
          <w:bCs/>
          <w:color w:val="000000"/>
          <w:kern w:val="0"/>
          <w:sz w:val="24"/>
        </w:rPr>
        <w:t>销售</w:t>
      </w:r>
      <w:r>
        <w:rPr>
          <w:rFonts w:ascii="宋体" w:hAnsi="宋体"/>
          <w:bCs/>
          <w:color w:val="000000"/>
          <w:kern w:val="0"/>
          <w:sz w:val="24"/>
        </w:rPr>
        <w:t>业务资格并与基金管理人签订了基金销售服务协议，办理基金销售业务的机构</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hint="eastAsia" w:ascii="宋体" w:hAnsi="宋体"/>
          <w:color w:val="000000"/>
          <w:kern w:val="0"/>
          <w:sz w:val="24"/>
        </w:rPr>
        <w:t>人</w:t>
      </w:r>
      <w:r>
        <w:rPr>
          <w:rFonts w:ascii="宋体" w:hAnsi="宋体"/>
          <w:color w:val="000000"/>
          <w:kern w:val="0"/>
          <w:sz w:val="24"/>
        </w:rPr>
        <w:t>基金账户的建立和管理、基金份额登记、基金</w:t>
      </w:r>
      <w:r>
        <w:rPr>
          <w:rFonts w:hint="eastAsia" w:ascii="宋体" w:hAnsi="宋体"/>
          <w:color w:val="000000"/>
          <w:kern w:val="0"/>
          <w:sz w:val="24"/>
        </w:rPr>
        <w:t>销售业务的</w:t>
      </w:r>
      <w:r>
        <w:rPr>
          <w:rFonts w:ascii="宋体" w:hAnsi="宋体"/>
          <w:color w:val="000000"/>
          <w:kern w:val="0"/>
          <w:sz w:val="24"/>
        </w:rPr>
        <w:t>确认、清算和结算、代理发放红利、建立并保管基金份额持有人名册</w:t>
      </w:r>
      <w:r>
        <w:rPr>
          <w:rFonts w:hint="eastAsia"/>
          <w:bCs/>
          <w:sz w:val="24"/>
        </w:rPr>
        <w:t>和办理非交易过户</w:t>
      </w:r>
      <w:r>
        <w:rPr>
          <w:rFonts w:ascii="宋体" w:hAnsi="宋体"/>
          <w:color w:val="000000"/>
          <w:kern w:val="0"/>
          <w:sz w:val="24"/>
        </w:rPr>
        <w:t>等</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登记机构：指办理登记业务的机构。</w:t>
      </w:r>
      <w:r>
        <w:rPr>
          <w:rFonts w:hint="eastAsia" w:ascii="宋体" w:hAnsi="宋体"/>
          <w:color w:val="000000"/>
          <w:kern w:val="0"/>
          <w:sz w:val="24"/>
        </w:rPr>
        <w:t>基金的登记机构为富荣基金管理有限公司或接受富荣基金管理有限公司委托代为办理登记业务的机构</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hint="eastAsia" w:ascii="宋体" w:hAnsi="宋体"/>
          <w:color w:val="000000"/>
          <w:kern w:val="0"/>
          <w:sz w:val="24"/>
        </w:rPr>
        <w:t>：</w:t>
      </w:r>
      <w:r>
        <w:rPr>
          <w:rFonts w:ascii="宋体" w:hAnsi="宋体"/>
          <w:color w:val="000000"/>
          <w:kern w:val="0"/>
          <w:sz w:val="24"/>
        </w:rPr>
        <w:t>指登记机构为投资</w:t>
      </w:r>
      <w:r>
        <w:rPr>
          <w:rFonts w:hint="eastAsia" w:ascii="宋体" w:hAnsi="宋体"/>
          <w:color w:val="000000"/>
          <w:kern w:val="0"/>
          <w:sz w:val="24"/>
        </w:rPr>
        <w:t>人</w:t>
      </w:r>
      <w:r>
        <w:rPr>
          <w:rFonts w:ascii="宋体" w:hAnsi="宋体"/>
          <w:color w:val="000000"/>
          <w:kern w:val="0"/>
          <w:sz w:val="24"/>
        </w:rPr>
        <w:t>开立的、记录其持有的、基金管理人所管理的基金份额余额及其变动情况的账户</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hint="eastAsia" w:ascii="宋体" w:hAnsi="宋体"/>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hint="eastAsia" w:ascii="宋体" w:hAnsi="宋体"/>
          <w:color w:val="000000"/>
          <w:kern w:val="0"/>
          <w:sz w:val="24"/>
        </w:rPr>
        <w:t>：</w:t>
      </w:r>
      <w:r>
        <w:rPr>
          <w:rFonts w:ascii="宋体" w:hAnsi="宋体"/>
          <w:color w:val="000000"/>
          <w:kern w:val="0"/>
          <w:sz w:val="24"/>
        </w:rPr>
        <w:t>指</w:t>
      </w:r>
      <w:r>
        <w:rPr>
          <w:rFonts w:hint="eastAsia" w:ascii="宋体" w:hAnsi="宋体"/>
          <w:color w:val="000000"/>
          <w:kern w:val="0"/>
          <w:sz w:val="24"/>
        </w:rPr>
        <w:t>基金募集达到法律法规规定及《基金合同》规定的条件，基金管理人向</w:t>
      </w:r>
      <w:r>
        <w:rPr>
          <w:rFonts w:ascii="宋体" w:hAnsi="宋体"/>
          <w:color w:val="000000"/>
          <w:kern w:val="0"/>
          <w:sz w:val="24"/>
        </w:rPr>
        <w:t>中国证监会</w:t>
      </w:r>
      <w:r>
        <w:rPr>
          <w:rFonts w:hint="eastAsia" w:ascii="宋体" w:hAnsi="宋体"/>
          <w:color w:val="000000"/>
          <w:kern w:val="0"/>
          <w:sz w:val="24"/>
        </w:rPr>
        <w:t>办理基金备案手续完毕，并获得中国证监会书面确认的日期</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hint="eastAsia" w:ascii="宋体" w:hAnsi="宋体"/>
          <w:color w:val="000000"/>
          <w:kern w:val="0"/>
          <w:sz w:val="24"/>
        </w:rPr>
        <w:t>《</w:t>
      </w:r>
      <w:r>
        <w:rPr>
          <w:rFonts w:ascii="宋体" w:hAnsi="宋体"/>
          <w:color w:val="000000"/>
          <w:kern w:val="0"/>
          <w:sz w:val="24"/>
        </w:rPr>
        <w:t>基金合同</w:t>
      </w:r>
      <w:r>
        <w:rPr>
          <w:rFonts w:hint="eastAsia" w:ascii="宋体" w:hAnsi="宋体"/>
          <w:color w:val="000000"/>
          <w:kern w:val="0"/>
          <w:sz w:val="24"/>
        </w:rPr>
        <w:t>》</w:t>
      </w:r>
      <w:r>
        <w:rPr>
          <w:rFonts w:ascii="宋体" w:hAnsi="宋体"/>
          <w:color w:val="000000"/>
          <w:kern w:val="0"/>
          <w:sz w:val="24"/>
        </w:rPr>
        <w:t>规定的</w:t>
      </w:r>
      <w:r>
        <w:rPr>
          <w:rFonts w:hint="eastAsia" w:ascii="宋体" w:hAnsi="宋体"/>
          <w:color w:val="000000"/>
          <w:kern w:val="0"/>
          <w:sz w:val="24"/>
        </w:rPr>
        <w:t>《</w:t>
      </w:r>
      <w:r>
        <w:rPr>
          <w:rFonts w:ascii="宋体" w:hAnsi="宋体"/>
          <w:color w:val="000000"/>
          <w:kern w:val="0"/>
          <w:sz w:val="24"/>
        </w:rPr>
        <w:t>基金合同</w:t>
      </w:r>
      <w:r>
        <w:rPr>
          <w:rFonts w:hint="eastAsia" w:ascii="宋体" w:hAnsi="宋体"/>
          <w:color w:val="000000"/>
          <w:kern w:val="0"/>
          <w:sz w:val="24"/>
        </w:rPr>
        <w:t>》</w:t>
      </w:r>
      <w:r>
        <w:rPr>
          <w:rFonts w:ascii="宋体" w:hAnsi="宋体"/>
          <w:color w:val="000000"/>
          <w:kern w:val="0"/>
          <w:sz w:val="24"/>
        </w:rPr>
        <w:t>终止事由出现后</w:t>
      </w:r>
      <w:r>
        <w:rPr>
          <w:rFonts w:hint="eastAsia" w:ascii="宋体" w:hAnsi="宋体"/>
          <w:color w:val="000000"/>
          <w:kern w:val="0"/>
          <w:sz w:val="24"/>
        </w:rPr>
        <w:t>，基金财产清算完毕，清算结果报中国证监会备案并予以公告</w:t>
      </w:r>
      <w:r>
        <w:rPr>
          <w:rFonts w:ascii="宋体" w:hAnsi="宋体"/>
          <w:color w:val="000000"/>
          <w:kern w:val="0"/>
          <w:sz w:val="24"/>
        </w:rPr>
        <w:t>的日期</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hint="eastAsia" w:ascii="宋体" w:hAnsi="宋体"/>
          <w:color w:val="000000"/>
          <w:kern w:val="0"/>
          <w:sz w:val="24"/>
        </w:rPr>
        <w:t>：</w:t>
      </w:r>
      <w:r>
        <w:rPr>
          <w:rFonts w:ascii="宋体" w:hAnsi="宋体"/>
          <w:color w:val="000000"/>
          <w:kern w:val="0"/>
          <w:sz w:val="24"/>
        </w:rPr>
        <w:t>指</w:t>
      </w:r>
      <w:r>
        <w:rPr>
          <w:rFonts w:hint="eastAsia" w:ascii="宋体" w:hAnsi="宋体"/>
          <w:color w:val="000000"/>
          <w:kern w:val="0"/>
          <w:sz w:val="24"/>
        </w:rPr>
        <w:t>自</w:t>
      </w:r>
      <w:r>
        <w:rPr>
          <w:rFonts w:ascii="宋体" w:hAnsi="宋体"/>
          <w:color w:val="000000"/>
          <w:kern w:val="0"/>
          <w:sz w:val="24"/>
        </w:rPr>
        <w:t>基金份额发售之日起至发售结束之日止的期间，最长不得超过</w:t>
      </w:r>
      <w:r>
        <w:rPr>
          <w:rFonts w:hint="eastAsia" w:ascii="宋体" w:hAnsi="宋体"/>
          <w:color w:val="000000"/>
          <w:kern w:val="0"/>
          <w:sz w:val="24"/>
        </w:rPr>
        <w:t>3</w:t>
      </w:r>
      <w:r>
        <w:rPr>
          <w:rFonts w:ascii="宋体" w:hAnsi="宋体"/>
          <w:color w:val="000000"/>
          <w:kern w:val="0"/>
          <w:sz w:val="24"/>
        </w:rPr>
        <w:t>个月</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hint="eastAsia" w:ascii="宋体" w:hAnsi="宋体"/>
          <w:color w:val="000000"/>
          <w:kern w:val="0"/>
          <w:sz w:val="24"/>
        </w:rPr>
        <w:t>：</w:t>
      </w:r>
      <w:r>
        <w:rPr>
          <w:rFonts w:ascii="宋体" w:hAnsi="宋体"/>
          <w:color w:val="000000"/>
          <w:kern w:val="0"/>
          <w:sz w:val="24"/>
        </w:rPr>
        <w:t>指</w:t>
      </w:r>
      <w:r>
        <w:rPr>
          <w:rFonts w:hint="eastAsia" w:ascii="宋体" w:hAnsi="宋体"/>
          <w:color w:val="000000"/>
          <w:kern w:val="0"/>
          <w:sz w:val="24"/>
        </w:rPr>
        <w:t>《</w:t>
      </w:r>
      <w:r>
        <w:rPr>
          <w:rFonts w:ascii="宋体" w:hAnsi="宋体"/>
          <w:color w:val="000000"/>
          <w:kern w:val="0"/>
          <w:sz w:val="24"/>
        </w:rPr>
        <w:t>基金合同</w:t>
      </w:r>
      <w:r>
        <w:rPr>
          <w:rFonts w:hint="eastAsia" w:ascii="宋体" w:hAnsi="宋体"/>
          <w:color w:val="000000"/>
          <w:kern w:val="0"/>
          <w:sz w:val="24"/>
        </w:rPr>
        <w:t>》</w:t>
      </w:r>
      <w:r>
        <w:rPr>
          <w:rFonts w:ascii="宋体" w:hAnsi="宋体"/>
          <w:color w:val="000000"/>
          <w:kern w:val="0"/>
          <w:sz w:val="24"/>
        </w:rPr>
        <w:t>生效至终止之间的不定期期限</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hint="eastAsia" w:ascii="宋体" w:hAnsi="宋体"/>
          <w:color w:val="000000"/>
          <w:kern w:val="0"/>
          <w:sz w:val="24"/>
        </w:rPr>
        <w:t>：</w:t>
      </w:r>
      <w:r>
        <w:rPr>
          <w:rFonts w:ascii="宋体" w:hAnsi="宋体"/>
          <w:color w:val="000000"/>
          <w:kern w:val="0"/>
          <w:sz w:val="24"/>
        </w:rPr>
        <w:t>指上海证券交易所、深圳证券交易所的正常交易日</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hint="eastAsia" w:ascii="宋体" w:hAnsi="宋体"/>
          <w:color w:val="000000"/>
          <w:kern w:val="0"/>
          <w:sz w:val="24"/>
        </w:rPr>
        <w:t>：指</w:t>
      </w:r>
      <w:r>
        <w:rPr>
          <w:rFonts w:ascii="宋体" w:hAnsi="宋体"/>
          <w:bCs/>
          <w:sz w:val="24"/>
        </w:rPr>
        <w:t>销售机构在规定时间受理投资人</w:t>
      </w:r>
      <w:r>
        <w:rPr>
          <w:rFonts w:hint="eastAsia" w:ascii="宋体" w:hAnsi="宋体"/>
          <w:color w:val="000000"/>
          <w:kern w:val="0"/>
          <w:sz w:val="24"/>
        </w:rPr>
        <w:t>申购、赎回或其他业务申请的开放日</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T+n日</w:t>
      </w:r>
      <w:r>
        <w:rPr>
          <w:rFonts w:hint="eastAsia" w:ascii="宋体" w:hAnsi="宋体"/>
          <w:color w:val="000000"/>
          <w:kern w:val="0"/>
          <w:sz w:val="24"/>
        </w:rPr>
        <w:t>：</w:t>
      </w:r>
      <w:r>
        <w:rPr>
          <w:rFonts w:ascii="宋体" w:hAnsi="宋体"/>
          <w:color w:val="000000"/>
          <w:kern w:val="0"/>
          <w:sz w:val="24"/>
        </w:rPr>
        <w:t>指自T日起第n个工作日</w:t>
      </w:r>
      <w:r>
        <w:rPr>
          <w:rFonts w:hint="eastAsia" w:ascii="宋体" w:hAnsi="宋体"/>
          <w:color w:val="000000"/>
          <w:kern w:val="0"/>
          <w:sz w:val="24"/>
        </w:rPr>
        <w:t>（</w:t>
      </w:r>
      <w:r>
        <w:rPr>
          <w:rFonts w:ascii="宋体" w:hAnsi="宋体"/>
          <w:color w:val="000000"/>
          <w:kern w:val="0"/>
          <w:sz w:val="24"/>
        </w:rPr>
        <w:t>不包含T日</w:t>
      </w:r>
      <w:r>
        <w:rPr>
          <w:rFonts w:hint="eastAsia" w:ascii="宋体" w:hAnsi="宋体"/>
          <w:color w:val="000000"/>
          <w:kern w:val="0"/>
          <w:sz w:val="24"/>
        </w:rPr>
        <w:t>）</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hint="eastAsia" w:ascii="宋体" w:hAnsi="宋体"/>
          <w:color w:val="000000"/>
          <w:kern w:val="0"/>
          <w:sz w:val="24"/>
        </w:rPr>
        <w:t>：</w:t>
      </w:r>
      <w:r>
        <w:rPr>
          <w:rFonts w:ascii="宋体" w:hAnsi="宋体"/>
          <w:color w:val="000000"/>
          <w:kern w:val="0"/>
          <w:sz w:val="24"/>
        </w:rPr>
        <w:t>指</w:t>
      </w:r>
      <w:r>
        <w:rPr>
          <w:rFonts w:hint="eastAsia" w:ascii="宋体" w:hAnsi="宋体"/>
          <w:color w:val="000000"/>
          <w:kern w:val="0"/>
          <w:sz w:val="24"/>
        </w:rPr>
        <w:t>为投资人</w:t>
      </w:r>
      <w:r>
        <w:rPr>
          <w:rFonts w:ascii="宋体" w:hAnsi="宋体"/>
          <w:color w:val="000000"/>
          <w:kern w:val="0"/>
          <w:sz w:val="24"/>
        </w:rPr>
        <w:t>办理基金份额申购、赎回</w:t>
      </w:r>
      <w:r>
        <w:rPr>
          <w:rFonts w:hint="eastAsia" w:ascii="宋体" w:hAnsi="宋体"/>
          <w:color w:val="000000"/>
          <w:kern w:val="0"/>
          <w:sz w:val="24"/>
        </w:rPr>
        <w:t>或其他</w:t>
      </w:r>
      <w:r>
        <w:rPr>
          <w:rFonts w:ascii="宋体" w:hAnsi="宋体"/>
          <w:color w:val="000000"/>
          <w:kern w:val="0"/>
          <w:sz w:val="24"/>
        </w:rPr>
        <w:t>业务的</w:t>
      </w:r>
      <w:r>
        <w:rPr>
          <w:rFonts w:hint="eastAsia" w:ascii="宋体" w:hAnsi="宋体"/>
          <w:color w:val="000000"/>
          <w:kern w:val="0"/>
          <w:sz w:val="24"/>
        </w:rPr>
        <w:t>工作日</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开放时间：指开放日基金接受申购、赎回或其他交易的时间段</w:t>
      </w:r>
    </w:p>
    <w:p>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hint="eastAsia" w:ascii="宋体" w:hAnsi="宋体"/>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hint="eastAsia" w:ascii="宋体" w:hAnsi="宋体"/>
          <w:color w:val="000000"/>
          <w:kern w:val="0"/>
          <w:sz w:val="24"/>
        </w:rPr>
        <w:t>：</w:t>
      </w:r>
      <w:r>
        <w:rPr>
          <w:rFonts w:ascii="宋体" w:hAnsi="宋体"/>
          <w:color w:val="000000"/>
          <w:kern w:val="0"/>
          <w:sz w:val="24"/>
        </w:rPr>
        <w:t>指在基金募集期</w:t>
      </w:r>
      <w:r>
        <w:rPr>
          <w:rFonts w:hint="eastAsia" w:ascii="宋体" w:hAnsi="宋体"/>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hint="eastAsia" w:ascii="宋体" w:hAnsi="宋体"/>
          <w:color w:val="000000"/>
          <w:kern w:val="0"/>
          <w:sz w:val="24"/>
        </w:rPr>
        <w:t>：</w:t>
      </w:r>
      <w:r>
        <w:rPr>
          <w:rFonts w:ascii="宋体" w:hAnsi="宋体"/>
          <w:color w:val="000000"/>
          <w:kern w:val="0"/>
          <w:sz w:val="24"/>
        </w:rPr>
        <w:t>指</w:t>
      </w:r>
      <w:r>
        <w:rPr>
          <w:rFonts w:hint="eastAsia" w:ascii="宋体" w:hAnsi="宋体"/>
          <w:color w:val="000000"/>
          <w:kern w:val="0"/>
          <w:sz w:val="24"/>
        </w:rPr>
        <w:t>基金合同生效后</w:t>
      </w:r>
      <w:r>
        <w:rPr>
          <w:rFonts w:ascii="宋体" w:hAnsi="宋体"/>
          <w:color w:val="000000"/>
          <w:kern w:val="0"/>
          <w:sz w:val="24"/>
        </w:rPr>
        <w:t>，投资</w:t>
      </w:r>
      <w:r>
        <w:rPr>
          <w:rFonts w:hint="eastAsia" w:ascii="宋体" w:hAnsi="宋体"/>
          <w:color w:val="000000"/>
          <w:kern w:val="0"/>
          <w:sz w:val="24"/>
        </w:rPr>
        <w:t>人根据基金合同和招募说明书的规定</w:t>
      </w:r>
      <w:r>
        <w:rPr>
          <w:rFonts w:ascii="宋体" w:hAnsi="宋体"/>
          <w:color w:val="000000"/>
          <w:kern w:val="0"/>
          <w:sz w:val="24"/>
        </w:rPr>
        <w:t>申请购买基金份额的行为</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hint="eastAsia" w:ascii="宋体" w:hAnsi="宋体"/>
          <w:color w:val="000000"/>
          <w:kern w:val="0"/>
          <w:sz w:val="24"/>
        </w:rPr>
        <w:t>：</w:t>
      </w:r>
      <w:r>
        <w:rPr>
          <w:rFonts w:ascii="宋体" w:hAnsi="宋体"/>
          <w:color w:val="000000"/>
          <w:kern w:val="0"/>
          <w:sz w:val="24"/>
        </w:rPr>
        <w:t>指</w:t>
      </w:r>
      <w:r>
        <w:rPr>
          <w:rFonts w:hint="eastAsia" w:ascii="宋体" w:hAnsi="宋体"/>
          <w:color w:val="000000"/>
          <w:kern w:val="0"/>
          <w:sz w:val="24"/>
        </w:rPr>
        <w:t>基金合同生效后，</w:t>
      </w:r>
      <w:r>
        <w:rPr>
          <w:rFonts w:ascii="宋体" w:hAnsi="宋体"/>
          <w:color w:val="000000"/>
          <w:kern w:val="0"/>
          <w:sz w:val="24"/>
        </w:rPr>
        <w:t>基金份额持有人按基金合同</w:t>
      </w:r>
      <w:r>
        <w:rPr>
          <w:rFonts w:hint="eastAsia" w:ascii="宋体" w:hAnsi="宋体"/>
          <w:color w:val="000000"/>
          <w:kern w:val="0"/>
          <w:sz w:val="24"/>
        </w:rPr>
        <w:t>和招募说明书</w:t>
      </w:r>
      <w:r>
        <w:rPr>
          <w:rFonts w:ascii="宋体" w:hAnsi="宋体"/>
          <w:color w:val="000000"/>
          <w:kern w:val="0"/>
          <w:sz w:val="24"/>
        </w:rPr>
        <w:t>规定的条件要求</w:t>
      </w:r>
      <w:r>
        <w:rPr>
          <w:rFonts w:hint="eastAsia" w:ascii="宋体" w:hAnsi="宋体"/>
          <w:color w:val="000000"/>
          <w:kern w:val="0"/>
          <w:sz w:val="24"/>
        </w:rPr>
        <w:t>将</w:t>
      </w:r>
      <w:r>
        <w:rPr>
          <w:rFonts w:ascii="宋体" w:hAnsi="宋体"/>
          <w:color w:val="000000"/>
          <w:kern w:val="0"/>
          <w:sz w:val="24"/>
        </w:rPr>
        <w:t>基金份额</w:t>
      </w:r>
      <w:r>
        <w:rPr>
          <w:rFonts w:hint="eastAsia" w:ascii="宋体" w:hAnsi="宋体"/>
          <w:color w:val="000000"/>
          <w:kern w:val="0"/>
          <w:sz w:val="24"/>
        </w:rPr>
        <w:t>兑换为现金</w:t>
      </w:r>
      <w:r>
        <w:rPr>
          <w:rFonts w:ascii="宋体" w:hAnsi="宋体"/>
          <w:color w:val="000000"/>
          <w:kern w:val="0"/>
          <w:sz w:val="24"/>
        </w:rPr>
        <w:t>的行为</w:t>
      </w:r>
    </w:p>
    <w:p>
      <w:pPr>
        <w:numPr>
          <w:ilvl w:val="0"/>
          <w:numId w:val="3"/>
        </w:numPr>
        <w:spacing w:line="360" w:lineRule="auto"/>
        <w:ind w:left="0" w:firstLine="426"/>
        <w:rPr>
          <w:rFonts w:ascii="宋体" w:hAnsi="宋体"/>
          <w:bCs/>
          <w:sz w:val="24"/>
        </w:rPr>
      </w:pPr>
      <w:r>
        <w:rPr>
          <w:rFonts w:hint="eastAsia" w:ascii="宋体" w:hAnsi="宋体"/>
          <w:color w:val="000000"/>
          <w:kern w:val="0"/>
          <w:sz w:val="24"/>
        </w:rPr>
        <w:t>基金转换：指基金份额持有人按照基金合同和基金管理人届时有效公告规定的条件，申请将其持有基金管理人管理的、某一基金的基金份额转换为基金管理人管理的其他基金基金份额的行为</w:t>
      </w:r>
    </w:p>
    <w:p>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hint="eastAsia" w:ascii="宋体" w:hAnsi="宋体"/>
          <w:color w:val="000000"/>
          <w:kern w:val="0"/>
          <w:sz w:val="24"/>
        </w:rPr>
        <w:t>：指</w:t>
      </w:r>
      <w:r>
        <w:rPr>
          <w:rFonts w:ascii="宋体" w:hAnsi="宋体"/>
          <w:color w:val="000000"/>
          <w:kern w:val="0"/>
          <w:sz w:val="24"/>
        </w:rPr>
        <w:t>本基金单个开放日</w:t>
      </w:r>
      <w:r>
        <w:rPr>
          <w:rFonts w:hint="eastAsia" w:ascii="宋体" w:hAnsi="宋体"/>
          <w:color w:val="000000"/>
          <w:kern w:val="0"/>
          <w:sz w:val="24"/>
        </w:rPr>
        <w:t>，</w:t>
      </w:r>
      <w:r>
        <w:rPr>
          <w:rFonts w:ascii="宋体" w:hAnsi="宋体"/>
          <w:color w:val="000000"/>
          <w:kern w:val="0"/>
          <w:sz w:val="24"/>
        </w:rPr>
        <w:t>基金净赎回申请</w:t>
      </w:r>
      <w:r>
        <w:rPr>
          <w:rFonts w:hint="eastAsia" w:ascii="宋体" w:hAnsi="宋体"/>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hint="eastAsia" w:ascii="宋体" w:hAnsi="宋体"/>
          <w:color w:val="000000"/>
          <w:kern w:val="0"/>
          <w:sz w:val="24"/>
        </w:rPr>
        <w:t>）</w:t>
      </w:r>
      <w:r>
        <w:rPr>
          <w:rFonts w:ascii="宋体" w:hAnsi="宋体"/>
          <w:color w:val="000000"/>
          <w:kern w:val="0"/>
          <w:sz w:val="24"/>
        </w:rPr>
        <w:t>超过上一</w:t>
      </w:r>
      <w:r>
        <w:rPr>
          <w:rFonts w:hint="eastAsia" w:ascii="宋体" w:hAnsi="宋体"/>
          <w:color w:val="000000"/>
          <w:kern w:val="0"/>
          <w:sz w:val="24"/>
        </w:rPr>
        <w:t>开放</w:t>
      </w:r>
      <w:r>
        <w:rPr>
          <w:rFonts w:ascii="宋体" w:hAnsi="宋体"/>
          <w:color w:val="000000"/>
          <w:kern w:val="0"/>
          <w:sz w:val="24"/>
        </w:rPr>
        <w:t>日基金总份额的10%</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hint="eastAsia" w:ascii="宋体" w:hAnsi="宋体"/>
          <w:color w:val="000000"/>
          <w:kern w:val="0"/>
          <w:sz w:val="24"/>
        </w:rPr>
        <w:t>：</w:t>
      </w:r>
      <w:r>
        <w:rPr>
          <w:rFonts w:ascii="宋体" w:hAnsi="宋体"/>
          <w:color w:val="000000"/>
          <w:kern w:val="0"/>
          <w:sz w:val="24"/>
        </w:rPr>
        <w:t>指人民币元</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hint="eastAsia" w:ascii="宋体" w:hAnsi="宋体"/>
          <w:color w:val="000000"/>
          <w:kern w:val="0"/>
          <w:sz w:val="24"/>
        </w:rPr>
        <w:t>：</w:t>
      </w:r>
      <w:r>
        <w:rPr>
          <w:rFonts w:hint="eastAsia"/>
          <w:bCs/>
          <w:sz w:val="24"/>
        </w:rPr>
        <w:t>指基金投资所得债券利息、买卖证券价差、银行存款利息、已实现的其他合法收入及因运用基金财产带来的成本和费用的节约</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摊余成本法</w:t>
      </w:r>
      <w:r>
        <w:rPr>
          <w:rFonts w:ascii="宋体" w:hAnsi="宋体"/>
          <w:color w:val="000000"/>
          <w:kern w:val="0"/>
          <w:sz w:val="24"/>
        </w:rPr>
        <w:t>：指计价对象以</w:t>
      </w:r>
      <w:r>
        <w:rPr>
          <w:rFonts w:hint="eastAsia" w:ascii="宋体" w:hAnsi="宋体"/>
          <w:color w:val="000000"/>
          <w:kern w:val="0"/>
          <w:sz w:val="24"/>
        </w:rPr>
        <w:t>买入</w:t>
      </w:r>
      <w:r>
        <w:rPr>
          <w:rFonts w:ascii="宋体" w:hAnsi="宋体"/>
          <w:color w:val="000000"/>
          <w:kern w:val="0"/>
          <w:sz w:val="24"/>
        </w:rPr>
        <w:t>成本列示，按照票面利率或协议利率并考虑其买入时的溢价与折价，在</w:t>
      </w:r>
      <w:r>
        <w:rPr>
          <w:rFonts w:hint="eastAsia" w:ascii="宋体" w:hAnsi="宋体"/>
          <w:color w:val="000000"/>
          <w:kern w:val="0"/>
          <w:sz w:val="24"/>
        </w:rPr>
        <w:t>剩余存续期内</w:t>
      </w:r>
      <w:r>
        <w:rPr>
          <w:rFonts w:ascii="宋体" w:hAnsi="宋体"/>
          <w:color w:val="000000"/>
          <w:kern w:val="0"/>
          <w:sz w:val="24"/>
        </w:rPr>
        <w:t>按实际利率法摊销，每日计提损益</w:t>
      </w:r>
    </w:p>
    <w:p>
      <w:pPr>
        <w:numPr>
          <w:ilvl w:val="0"/>
          <w:numId w:val="3"/>
        </w:numPr>
        <w:spacing w:line="360" w:lineRule="auto"/>
        <w:ind w:left="0" w:firstLine="426"/>
        <w:rPr>
          <w:rFonts w:ascii="宋体" w:hAnsi="宋体"/>
          <w:color w:val="000000"/>
          <w:kern w:val="0"/>
          <w:sz w:val="24"/>
        </w:rPr>
      </w:pPr>
      <w:r>
        <w:rPr>
          <w:rFonts w:hint="eastAsia"/>
          <w:bCs/>
          <w:sz w:val="24"/>
        </w:rPr>
        <w:t>偏离度：指影子定价与摊余成本法确定的基金资产净值的偏离度，等于（</w:t>
      </w:r>
      <w:r>
        <w:rPr>
          <w:bCs/>
          <w:sz w:val="24"/>
        </w:rPr>
        <w:t>NAVs-NAVa</w:t>
      </w:r>
      <w:r>
        <w:rPr>
          <w:rFonts w:hint="eastAsia"/>
          <w:bCs/>
          <w:sz w:val="24"/>
        </w:rPr>
        <w:t>）</w:t>
      </w:r>
      <w:r>
        <w:rPr>
          <w:bCs/>
          <w:sz w:val="24"/>
        </w:rPr>
        <w:t>/NAVa</w:t>
      </w:r>
      <w:r>
        <w:rPr>
          <w:rFonts w:hint="eastAsia"/>
          <w:bCs/>
          <w:sz w:val="24"/>
        </w:rPr>
        <w:t>。其中，</w:t>
      </w:r>
      <w:r>
        <w:rPr>
          <w:bCs/>
          <w:sz w:val="24"/>
        </w:rPr>
        <w:t>NAVs</w:t>
      </w:r>
      <w:r>
        <w:rPr>
          <w:rFonts w:hint="eastAsia"/>
          <w:bCs/>
          <w:sz w:val="24"/>
        </w:rPr>
        <w:t>为影子定价确定的基金资产净值，</w:t>
      </w:r>
      <w:r>
        <w:rPr>
          <w:bCs/>
          <w:sz w:val="24"/>
        </w:rPr>
        <w:t>NAVa</w:t>
      </w:r>
      <w:r>
        <w:rPr>
          <w:rFonts w:hint="eastAsia"/>
          <w:bCs/>
          <w:sz w:val="24"/>
        </w:rPr>
        <w:t>为摊余成本法确定的基金资产净值</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每万份</w:t>
      </w:r>
      <w:r>
        <w:rPr>
          <w:rFonts w:ascii="宋体" w:hAnsi="宋体"/>
          <w:color w:val="000000"/>
          <w:kern w:val="0"/>
          <w:sz w:val="24"/>
        </w:rPr>
        <w:t>基金已实现收益：指按照相关法规计算的每万份基金份额的日已实现收益</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7</w:t>
      </w:r>
      <w:r>
        <w:rPr>
          <w:rFonts w:hint="eastAsia" w:ascii="宋体" w:hAnsi="宋体"/>
          <w:color w:val="000000"/>
          <w:kern w:val="0"/>
          <w:sz w:val="24"/>
        </w:rPr>
        <w:t>日</w:t>
      </w:r>
      <w:r>
        <w:rPr>
          <w:rFonts w:ascii="宋体" w:hAnsi="宋体"/>
          <w:color w:val="000000"/>
          <w:kern w:val="0"/>
          <w:sz w:val="24"/>
        </w:rPr>
        <w:t>年化收益率：指以最近</w:t>
      </w:r>
      <w:r>
        <w:rPr>
          <w:rFonts w:hint="eastAsia" w:ascii="宋体" w:hAnsi="宋体"/>
          <w:color w:val="000000"/>
          <w:kern w:val="0"/>
          <w:sz w:val="24"/>
        </w:rPr>
        <w:t>7日</w:t>
      </w:r>
      <w:r>
        <w:rPr>
          <w:rFonts w:ascii="宋体" w:hAnsi="宋体"/>
          <w:color w:val="000000"/>
          <w:kern w:val="0"/>
          <w:sz w:val="24"/>
        </w:rPr>
        <w:t>（</w:t>
      </w:r>
      <w:r>
        <w:rPr>
          <w:rFonts w:hint="eastAsia" w:ascii="宋体" w:hAnsi="宋体"/>
          <w:color w:val="000000"/>
          <w:kern w:val="0"/>
          <w:sz w:val="24"/>
        </w:rPr>
        <w:t>含</w:t>
      </w:r>
      <w:r>
        <w:rPr>
          <w:rFonts w:ascii="宋体" w:hAnsi="宋体"/>
          <w:color w:val="000000"/>
          <w:kern w:val="0"/>
          <w:sz w:val="24"/>
        </w:rPr>
        <w:t>节假日）</w:t>
      </w:r>
      <w:r>
        <w:rPr>
          <w:rFonts w:hint="eastAsia" w:ascii="宋体" w:hAnsi="宋体"/>
          <w:color w:val="000000"/>
          <w:kern w:val="0"/>
          <w:sz w:val="24"/>
        </w:rPr>
        <w:t>收益</w:t>
      </w:r>
      <w:r>
        <w:rPr>
          <w:rFonts w:ascii="宋体" w:hAnsi="宋体"/>
          <w:color w:val="000000"/>
          <w:kern w:val="0"/>
          <w:sz w:val="24"/>
        </w:rPr>
        <w:t>所折算的年资产收益率</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销售服务费：指本基金用于持续销售和服务基金份额持有人的费用，该笔费用从基金财产中扣除，属于基金的营运费用</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基金份额分类：本基金分设两类基金份额：A 类基金份额和 B 类基金份额。两类基金份额分设不同的基金代码，收取不同的销售服务费并分别公布每万份基金已实现收益和 7 日年化收益率</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A 类基金份额：指按照 0.25%年费率计提销售服务费的基金份额类别</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B 类基金份额：指按照 0.01%年费率计提销售服务费的基金份额类别</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hint="eastAsia" w:ascii="宋体" w:hAnsi="宋体"/>
          <w:color w:val="000000"/>
          <w:kern w:val="0"/>
          <w:sz w:val="24"/>
        </w:rPr>
        <w:t>申购</w:t>
      </w:r>
      <w:r>
        <w:rPr>
          <w:rFonts w:ascii="宋体" w:hAnsi="宋体"/>
          <w:color w:val="000000"/>
          <w:kern w:val="0"/>
          <w:sz w:val="24"/>
        </w:rPr>
        <w:t>款及其他资产的价值总和</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hint="eastAsia" w:ascii="宋体" w:hAnsi="宋体"/>
          <w:color w:val="000000"/>
          <w:kern w:val="0"/>
          <w:sz w:val="24"/>
        </w:rPr>
        <w:t>：</w:t>
      </w:r>
      <w:r>
        <w:rPr>
          <w:rFonts w:ascii="宋体" w:hAnsi="宋体"/>
          <w:color w:val="000000"/>
          <w:kern w:val="0"/>
          <w:sz w:val="24"/>
        </w:rPr>
        <w:t>指基金资产总值减去基金负债后的价值</w:t>
      </w:r>
    </w:p>
    <w:p>
      <w:pPr>
        <w:numPr>
          <w:ilvl w:val="0"/>
          <w:numId w:val="3"/>
        </w:numPr>
        <w:spacing w:line="360" w:lineRule="auto"/>
        <w:ind w:left="0" w:firstLine="426"/>
        <w:rPr>
          <w:rFonts w:ascii="宋体" w:hAnsi="宋体"/>
          <w:color w:val="000000"/>
          <w:kern w:val="0"/>
          <w:sz w:val="24"/>
        </w:rPr>
      </w:pPr>
      <w:r>
        <w:rPr>
          <w:rFonts w:hint="eastAsia" w:ascii="宋体" w:hAnsi="宋体"/>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hint="eastAsia" w:ascii="宋体" w:hAnsi="宋体"/>
          <w:color w:val="000000"/>
          <w:kern w:val="0"/>
          <w:sz w:val="24"/>
        </w:rPr>
        <w:t>资产</w:t>
      </w:r>
      <w:r>
        <w:rPr>
          <w:rFonts w:ascii="宋体" w:hAnsi="宋体"/>
          <w:color w:val="000000"/>
          <w:kern w:val="0"/>
          <w:sz w:val="24"/>
        </w:rPr>
        <w:t>和负债的价值，以确定基金资产净值、各类基金份额的每万份基金已实现收益和7日年化收益率的过程</w:t>
      </w:r>
    </w:p>
    <w:p>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hint="eastAsia" w:ascii="宋体" w:hAnsi="宋体"/>
          <w:color w:val="000000"/>
          <w:kern w:val="0"/>
          <w:sz w:val="24"/>
        </w:rPr>
        <w:t>：</w:t>
      </w:r>
      <w:r>
        <w:rPr>
          <w:rFonts w:ascii="宋体" w:hAnsi="宋体"/>
          <w:color w:val="000000"/>
          <w:kern w:val="0"/>
          <w:sz w:val="24"/>
        </w:rPr>
        <w:t>指中国证监会指定的用以进行信息披露的报刊、互联网网站及其他媒介</w:t>
      </w:r>
    </w:p>
    <w:p>
      <w:pPr>
        <w:numPr>
          <w:ilvl w:val="0"/>
          <w:numId w:val="3"/>
        </w:numPr>
        <w:spacing w:line="360" w:lineRule="auto"/>
        <w:ind w:left="0" w:firstLine="426"/>
        <w:rPr>
          <w:rFonts w:ascii="宋体" w:hAnsi="宋体"/>
          <w:color w:val="000000"/>
          <w:kern w:val="0"/>
          <w:sz w:val="24"/>
        </w:rPr>
      </w:pPr>
      <w:r>
        <w:rPr>
          <w:rFonts w:ascii="宋体" w:hAnsi="宋体"/>
          <w:bCs/>
          <w:color w:val="000000"/>
          <w:kern w:val="0"/>
          <w:sz w:val="24"/>
        </w:rPr>
        <w:t>不可抗力</w:t>
      </w:r>
      <w:r>
        <w:rPr>
          <w:rFonts w:hint="eastAsia" w:ascii="宋体" w:hAnsi="宋体"/>
          <w:bCs/>
          <w:color w:val="000000"/>
          <w:kern w:val="0"/>
          <w:sz w:val="24"/>
        </w:rPr>
        <w:t>：</w:t>
      </w:r>
      <w:r>
        <w:rPr>
          <w:bCs/>
          <w:sz w:val="24"/>
        </w:rPr>
        <w:t>指</w:t>
      </w:r>
      <w:r>
        <w:rPr>
          <w:rFonts w:hint="eastAsia"/>
          <w:bCs/>
          <w:sz w:val="24"/>
        </w:rPr>
        <w:t>基金</w:t>
      </w:r>
      <w:r>
        <w:rPr>
          <w:bCs/>
          <w:sz w:val="24"/>
        </w:rPr>
        <w:t>合同当事人不能预见、不能避免且不能克服的客观事件</w:t>
      </w:r>
    </w:p>
    <w:p>
      <w:pPr>
        <w:pStyle w:val="2"/>
        <w:keepNext w:val="0"/>
        <w:keepLines w:val="0"/>
        <w:spacing w:line="360" w:lineRule="auto"/>
        <w:jc w:val="center"/>
        <w:rPr>
          <w:rFonts w:ascii="宋体" w:hAnsi="宋体"/>
          <w:color w:val="000000"/>
          <w:kern w:val="0"/>
          <w:sz w:val="24"/>
          <w:szCs w:val="24"/>
        </w:rPr>
      </w:pPr>
      <w:bookmarkStart w:id="12" w:name="_Toc256666912"/>
      <w:bookmarkStart w:id="13" w:name="_Toc482624791"/>
      <w:bookmarkStart w:id="14" w:name="_Toc9504"/>
      <w:bookmarkStart w:id="15" w:name="_Toc256666784"/>
    </w:p>
    <w:p>
      <w:pPr>
        <w:pStyle w:val="2"/>
        <w:keepNext w:val="0"/>
        <w:keepLines w:val="0"/>
        <w:spacing w:line="360" w:lineRule="auto"/>
        <w:jc w:val="center"/>
        <w:rPr>
          <w:rFonts w:ascii="宋体" w:hAnsi="宋体"/>
          <w:color w:val="000000"/>
          <w:kern w:val="0"/>
          <w:sz w:val="24"/>
          <w:szCs w:val="24"/>
        </w:rPr>
      </w:pPr>
    </w:p>
    <w:p>
      <w:pPr>
        <w:pStyle w:val="2"/>
        <w:keepNext w:val="0"/>
        <w:keepLines w:val="0"/>
        <w:spacing w:line="360" w:lineRule="auto"/>
        <w:jc w:val="center"/>
        <w:rPr>
          <w:rFonts w:ascii="宋体" w:hAnsi="宋体"/>
          <w:color w:val="000000"/>
          <w:kern w:val="0"/>
          <w:sz w:val="24"/>
          <w:szCs w:val="24"/>
        </w:rPr>
      </w:pPr>
    </w:p>
    <w:p>
      <w:pPr>
        <w:pStyle w:val="2"/>
        <w:keepNext w:val="0"/>
        <w:keepLines w:val="0"/>
        <w:spacing w:line="360" w:lineRule="auto"/>
        <w:jc w:val="center"/>
        <w:rPr>
          <w:rFonts w:ascii="宋体" w:hAnsi="宋体"/>
          <w:color w:val="000000"/>
          <w:kern w:val="0"/>
          <w:sz w:val="24"/>
          <w:szCs w:val="24"/>
        </w:rPr>
      </w:pPr>
    </w:p>
    <w:p>
      <w:pPr>
        <w:pStyle w:val="2"/>
        <w:keepNext w:val="0"/>
        <w:keepLines w:val="0"/>
        <w:spacing w:line="360" w:lineRule="auto"/>
        <w:jc w:val="center"/>
        <w:rPr>
          <w:rFonts w:ascii="宋体" w:hAnsi="宋体"/>
          <w:color w:val="000000"/>
          <w:kern w:val="0"/>
          <w:sz w:val="24"/>
          <w:szCs w:val="24"/>
        </w:rPr>
      </w:pPr>
    </w:p>
    <w:p>
      <w:pPr>
        <w:pStyle w:val="2"/>
        <w:keepNext w:val="0"/>
        <w:keepLines w:val="0"/>
        <w:spacing w:line="360" w:lineRule="auto"/>
        <w:jc w:val="center"/>
        <w:rPr>
          <w:rFonts w:ascii="宋体" w:hAnsi="宋体"/>
          <w:color w:val="000000"/>
          <w:kern w:val="0"/>
          <w:sz w:val="24"/>
          <w:szCs w:val="24"/>
        </w:rPr>
      </w:pPr>
    </w:p>
    <w:p>
      <w:pPr>
        <w:pStyle w:val="2"/>
        <w:keepNext w:val="0"/>
        <w:keepLines w:val="0"/>
        <w:spacing w:line="360" w:lineRule="auto"/>
        <w:jc w:val="center"/>
        <w:rPr>
          <w:rFonts w:ascii="宋体" w:hAnsi="宋体"/>
          <w:color w:val="000000"/>
          <w:kern w:val="0"/>
          <w:sz w:val="24"/>
          <w:szCs w:val="24"/>
        </w:rPr>
      </w:pPr>
      <w:bookmarkStart w:id="16" w:name="_Toc26120"/>
      <w:r>
        <w:rPr>
          <w:rFonts w:hint="eastAsia" w:ascii="宋体" w:hAnsi="宋体"/>
          <w:color w:val="000000"/>
          <w:kern w:val="0"/>
          <w:sz w:val="24"/>
          <w:szCs w:val="24"/>
        </w:rPr>
        <w:t>第三部分  基金管理人</w:t>
      </w:r>
      <w:bookmarkEnd w:id="12"/>
      <w:bookmarkEnd w:id="13"/>
      <w:bookmarkEnd w:id="14"/>
      <w:bookmarkEnd w:id="15"/>
      <w:bookmarkEnd w:id="16"/>
    </w:p>
    <w:p>
      <w:pPr>
        <w:spacing w:line="360" w:lineRule="auto"/>
        <w:ind w:firstLine="480" w:firstLineChars="200"/>
        <w:rPr>
          <w:rFonts w:ascii="宋体" w:hAnsi="宋体"/>
          <w:color w:val="000000"/>
          <w:kern w:val="0"/>
          <w:sz w:val="24"/>
        </w:rPr>
      </w:pPr>
      <w:bookmarkStart w:id="17" w:name="_Toc88969216"/>
      <w:r>
        <w:rPr>
          <w:rFonts w:hint="eastAsia" w:ascii="宋体" w:hAnsi="宋体"/>
          <w:color w:val="000000"/>
          <w:kern w:val="0"/>
          <w:sz w:val="24"/>
        </w:rPr>
        <w:t>（一）基金管理人概况</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名称：富荣基金管理有限公司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注册</w:t>
      </w:r>
      <w:r>
        <w:rPr>
          <w:rFonts w:ascii="宋体" w:hAnsi="宋体"/>
          <w:color w:val="000000"/>
          <w:kern w:val="0"/>
          <w:sz w:val="24"/>
        </w:rPr>
        <w:t>地址</w:t>
      </w:r>
      <w:r>
        <w:rPr>
          <w:rFonts w:hint="eastAsia" w:ascii="宋体" w:hAnsi="宋体"/>
          <w:color w:val="000000"/>
          <w:kern w:val="0"/>
          <w:sz w:val="24"/>
        </w:rPr>
        <w:t xml:space="preserve">：广州市南沙区海滨路171号南沙金融大厦11楼1101之一J20室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办公地址：深圳市福田区深南大道2012号深圳证券交易所广场3501室</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法定代表人：刘志军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设立日期：2016年1月25日</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批准设立机关：中国证监会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批准设立文号：证监许可【2015】3118号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组织形式：有限责任公司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注册资本：2亿元人民币</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存续期限：永续经营</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联系人：董菱</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联系电话：0755-84356637</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传    真：0755-83230787</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股权结构： </w:t>
      </w:r>
    </w:p>
    <w:tbl>
      <w:tblPr>
        <w:tblStyle w:val="33"/>
        <w:tblW w:w="55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50" w:type="dxa"/>
            <w:vAlign w:val="center"/>
          </w:tcPr>
          <w:p>
            <w:pPr>
              <w:spacing w:line="360" w:lineRule="auto"/>
              <w:jc w:val="center"/>
              <w:rPr>
                <w:rFonts w:ascii="宋体" w:hAnsi="宋体"/>
                <w:b/>
                <w:color w:val="000000"/>
                <w:kern w:val="0"/>
                <w:sz w:val="24"/>
              </w:rPr>
            </w:pPr>
            <w:r>
              <w:rPr>
                <w:rFonts w:hint="eastAsia" w:ascii="宋体" w:hAnsi="宋体"/>
                <w:b/>
                <w:color w:val="000000"/>
                <w:kern w:val="0"/>
                <w:sz w:val="24"/>
              </w:rPr>
              <w:t>股东名称</w:t>
            </w:r>
          </w:p>
        </w:tc>
        <w:tc>
          <w:tcPr>
            <w:tcW w:w="1275" w:type="dxa"/>
            <w:vAlign w:val="center"/>
          </w:tcPr>
          <w:p>
            <w:pPr>
              <w:spacing w:line="360" w:lineRule="auto"/>
              <w:jc w:val="center"/>
              <w:rPr>
                <w:rFonts w:ascii="宋体" w:hAnsi="宋体"/>
                <w:b/>
                <w:color w:val="000000"/>
                <w:kern w:val="0"/>
                <w:sz w:val="24"/>
              </w:rPr>
            </w:pPr>
            <w:r>
              <w:rPr>
                <w:rFonts w:hint="eastAsia" w:ascii="宋体" w:hAnsi="宋体"/>
                <w:b/>
                <w:color w:val="000000"/>
                <w:kern w:val="0"/>
                <w:sz w:val="24"/>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50"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广州科技金融创新投资控股有限公司</w:t>
            </w:r>
          </w:p>
        </w:tc>
        <w:tc>
          <w:tcPr>
            <w:tcW w:w="1275"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50"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深圳嘉年实业股份有限公司</w:t>
            </w:r>
          </w:p>
        </w:tc>
        <w:tc>
          <w:tcPr>
            <w:tcW w:w="1275"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250"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湖南典勤投资开发有限公司</w:t>
            </w:r>
          </w:p>
        </w:tc>
        <w:tc>
          <w:tcPr>
            <w:tcW w:w="1275"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4.9%</w:t>
            </w:r>
          </w:p>
        </w:tc>
      </w:tr>
    </w:tbl>
    <w:p>
      <w:pPr>
        <w:spacing w:line="360" w:lineRule="auto"/>
        <w:rPr>
          <w:rFonts w:ascii="宋体" w:hAnsi="宋体"/>
          <w:color w:val="000000"/>
          <w:kern w:val="0"/>
          <w:sz w:val="24"/>
        </w:rPr>
      </w:pPr>
    </w:p>
    <w:p>
      <w:pPr>
        <w:spacing w:line="360" w:lineRule="auto"/>
        <w:ind w:firstLine="480" w:firstLineChars="200"/>
        <w:rPr>
          <w:rFonts w:ascii="宋体" w:hAnsi="宋体"/>
          <w:color w:val="000000"/>
          <w:kern w:val="0"/>
          <w:sz w:val="24"/>
        </w:rPr>
      </w:pPr>
      <w:r>
        <w:rPr>
          <w:rFonts w:hint="eastAsia" w:ascii="宋体" w:hAnsi="宋体"/>
          <w:color w:val="000000"/>
          <w:kern w:val="0"/>
          <w:sz w:val="24"/>
        </w:rPr>
        <w:t>（二）主要人员情况</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1、董事会成员</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刘志军先生，董事长。中国科学院博士，现任广州产业投资基金管理有限公司副总经理、广州科技金融创新投资控股有限公司董事长、富荣基金管理有限公司董事长。</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罗劲先生，董事，湖南大学工商管理硕士。曾任广州农村商业银行股份有限公司华夏支行集团客户事业部副总经理。现任广州汇垠天粤股权投资基金管理有限公司副总经理、富荣基金管理有限公司董事。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郭涛先生，董事，上海高级金融学院研究生（在读）。曾任深圳嘉年实业股份有限公司董事、深圳市莱英达集团有限责任公司董事、现任深圳市前海富荣资产管理有限公司董事、总经理、深圳市富润天成投资发展有限公司董事、富荣基金管理有限公司董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林斌先生，独立董事，厦门大学经济学博士。现任中山大学管理学院会计学系教授、富荣基金管理有限公司独立董事。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2、监事会成员</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基金管理人不设监事会，设监事两名，其中一名为职工监事。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卢伟女士，监事，大专。现任盈投控股有限公司总裁助理兼投资运营部部门经理、四川天一科技股份有限公司监事、富荣基金管理有限公司监事。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毛志华先生，职工监事，本科。现任富荣基金管理有限公司监事。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3、高级管理人员</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刘志军先生，董事长。中国科学院博士，现任广州产业投资基金管理有限公司副总经理、广州科技金融创新投资控股有限公司董事长、富荣基金管理有限公司董事长。</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滕大江先生，督察长，中南大学工学学士，先后供职于平安证券、平安大华基金管理有限公司、前海开源基金管理有限公司监察稽核部门。现任富荣基金管理有限公司督察长。</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4、本基金基金经理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贺翔女士，中国人民大学金融硕士。曾任神农投资基金经理助理、浙商金汇信托资本市场部助理（债券投资交易）、天安财险固定收益处负责人。现任富荣基金管理有限公司固定收益部副总监。2016年12月起担任富荣货币市场基金基金经理。2017年3月起兼任富荣富兴纯债债券型证券投资基金、富荣富祥纯债债券型证券投资基金基金经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5、投资决策委员会成员的姓名、职务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郭容辰女士，投资决策委员会召集人，公司董事、总经理。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于涛先生，投资决策委员会成员。</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张辰明先生，投资决策委员会成员。</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6、上述人员之间不存在近亲属关系。</w:t>
      </w:r>
    </w:p>
    <w:bookmarkEnd w:id="17"/>
    <w:p>
      <w:pPr>
        <w:spacing w:line="360" w:lineRule="auto"/>
        <w:ind w:firstLine="480" w:firstLineChars="200"/>
        <w:rPr>
          <w:rFonts w:ascii="宋体" w:hAnsi="宋体"/>
          <w:color w:val="000000"/>
          <w:kern w:val="0"/>
          <w:sz w:val="24"/>
        </w:rPr>
      </w:pPr>
      <w:bookmarkStart w:id="18" w:name="_Toc88969222"/>
      <w:r>
        <w:rPr>
          <w:rFonts w:hint="eastAsia" w:ascii="宋体" w:hAnsi="宋体"/>
          <w:color w:val="000000"/>
          <w:kern w:val="0"/>
          <w:sz w:val="24"/>
        </w:rPr>
        <w:t>（三）基金管理人的职责</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w:t>
      </w:r>
      <w:r>
        <w:rPr>
          <w:rFonts w:ascii="宋体" w:hAnsi="宋体"/>
          <w:color w:val="000000"/>
          <w:kern w:val="0"/>
          <w:sz w:val="24"/>
        </w:rPr>
        <w:t>依法募集</w:t>
      </w:r>
      <w:r>
        <w:rPr>
          <w:rFonts w:hint="eastAsia" w:ascii="宋体" w:hAnsi="宋体"/>
          <w:color w:val="000000"/>
          <w:kern w:val="0"/>
          <w:sz w:val="24"/>
        </w:rPr>
        <w:t>资</w:t>
      </w:r>
      <w:r>
        <w:rPr>
          <w:rFonts w:ascii="宋体" w:hAnsi="宋体"/>
          <w:color w:val="000000"/>
          <w:kern w:val="0"/>
          <w:sz w:val="24"/>
        </w:rPr>
        <w:t>金，办理基金份额的发售和登记事宜；</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w:t>
      </w:r>
      <w:r>
        <w:rPr>
          <w:rFonts w:ascii="宋体" w:hAnsi="宋体"/>
          <w:color w:val="000000"/>
          <w:kern w:val="0"/>
          <w:sz w:val="24"/>
        </w:rPr>
        <w:t>办理基金备案手续；</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w:t>
      </w:r>
      <w:r>
        <w:rPr>
          <w:rFonts w:ascii="宋体" w:hAnsi="宋体"/>
          <w:color w:val="000000"/>
          <w:kern w:val="0"/>
          <w:sz w:val="24"/>
        </w:rPr>
        <w:t>对所管理的不同基金</w:t>
      </w:r>
      <w:r>
        <w:rPr>
          <w:rFonts w:hint="eastAsia" w:ascii="宋体" w:hAnsi="宋体"/>
          <w:color w:val="000000"/>
          <w:kern w:val="0"/>
          <w:sz w:val="24"/>
        </w:rPr>
        <w:t>财</w:t>
      </w:r>
      <w:r>
        <w:rPr>
          <w:rFonts w:ascii="宋体" w:hAnsi="宋体"/>
          <w:color w:val="000000"/>
          <w:kern w:val="0"/>
          <w:sz w:val="24"/>
        </w:rPr>
        <w:t>产分别管理、分别记账，进行证券投资；</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w:t>
      </w:r>
      <w:r>
        <w:rPr>
          <w:rFonts w:ascii="宋体" w:hAnsi="宋体"/>
          <w:color w:val="000000"/>
          <w:kern w:val="0"/>
          <w:sz w:val="24"/>
        </w:rPr>
        <w:t>按照</w:t>
      </w:r>
      <w:r>
        <w:rPr>
          <w:rFonts w:hint="eastAsia" w:ascii="宋体" w:hAnsi="宋体"/>
          <w:color w:val="000000"/>
          <w:kern w:val="0"/>
          <w:sz w:val="24"/>
        </w:rPr>
        <w:t>《</w:t>
      </w:r>
      <w:r>
        <w:rPr>
          <w:rFonts w:ascii="宋体" w:hAnsi="宋体"/>
          <w:color w:val="000000"/>
          <w:kern w:val="0"/>
          <w:sz w:val="24"/>
        </w:rPr>
        <w:t>基金合同</w:t>
      </w:r>
      <w:r>
        <w:rPr>
          <w:rFonts w:hint="eastAsia" w:ascii="宋体" w:hAnsi="宋体"/>
          <w:color w:val="000000"/>
          <w:kern w:val="0"/>
          <w:sz w:val="24"/>
        </w:rPr>
        <w:t>》及有关法律法规的规定确定</w:t>
      </w:r>
      <w:r>
        <w:rPr>
          <w:rFonts w:ascii="宋体" w:hAnsi="宋体"/>
          <w:color w:val="000000"/>
          <w:kern w:val="0"/>
          <w:sz w:val="24"/>
        </w:rPr>
        <w:t>基金收益分配方案，及时向基金份额持有人分配收益；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w:t>
      </w:r>
      <w:r>
        <w:rPr>
          <w:rFonts w:ascii="宋体" w:hAnsi="宋体"/>
          <w:color w:val="000000"/>
          <w:kern w:val="0"/>
          <w:sz w:val="24"/>
        </w:rPr>
        <w:t>进行基金会计核算并编制基金财务会计报告；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6、编制季报、半年报和年度基金报告；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7</w:t>
      </w:r>
      <w:r>
        <w:rPr>
          <w:rFonts w:ascii="宋体" w:hAnsi="宋体"/>
          <w:color w:val="000000"/>
          <w:kern w:val="0"/>
          <w:sz w:val="24"/>
        </w:rPr>
        <w:t>、</w:t>
      </w:r>
      <w:r>
        <w:rPr>
          <w:rFonts w:hint="eastAsia" w:ascii="宋体" w:hAnsi="宋体"/>
          <w:color w:val="000000"/>
          <w:kern w:val="0"/>
          <w:sz w:val="24"/>
        </w:rPr>
        <w:t>采取适当</w:t>
      </w:r>
      <w:r>
        <w:rPr>
          <w:rFonts w:ascii="宋体" w:hAnsi="宋体"/>
          <w:color w:val="000000"/>
          <w:kern w:val="0"/>
          <w:sz w:val="24"/>
        </w:rPr>
        <w:t>合理的措施</w:t>
      </w:r>
      <w:r>
        <w:rPr>
          <w:rFonts w:hint="eastAsia" w:ascii="宋体" w:hAnsi="宋体"/>
          <w:color w:val="000000"/>
          <w:kern w:val="0"/>
          <w:sz w:val="24"/>
        </w:rPr>
        <w:t>使</w:t>
      </w:r>
      <w:r>
        <w:rPr>
          <w:rFonts w:ascii="宋体" w:hAnsi="宋体"/>
          <w:color w:val="000000"/>
          <w:kern w:val="0"/>
          <w:sz w:val="24"/>
        </w:rPr>
        <w:t>计算基金份额认购、申购、赎回和注销价格的方法符合《</w:t>
      </w:r>
      <w:r>
        <w:rPr>
          <w:rFonts w:hint="eastAsia" w:ascii="宋体" w:hAnsi="宋体"/>
          <w:color w:val="000000"/>
          <w:kern w:val="0"/>
          <w:sz w:val="24"/>
        </w:rPr>
        <w:t>基金</w:t>
      </w:r>
      <w:r>
        <w:rPr>
          <w:rFonts w:ascii="宋体" w:hAnsi="宋体"/>
          <w:color w:val="000000"/>
          <w:kern w:val="0"/>
          <w:sz w:val="24"/>
        </w:rPr>
        <w:t>合同》</w:t>
      </w:r>
      <w:r>
        <w:rPr>
          <w:rFonts w:hint="eastAsia" w:ascii="宋体" w:hAnsi="宋体"/>
          <w:color w:val="000000"/>
          <w:kern w:val="0"/>
          <w:sz w:val="24"/>
        </w:rPr>
        <w:t>等</w:t>
      </w:r>
      <w:r>
        <w:rPr>
          <w:rFonts w:ascii="宋体" w:hAnsi="宋体"/>
          <w:color w:val="000000"/>
          <w:kern w:val="0"/>
          <w:sz w:val="24"/>
        </w:rPr>
        <w:t>法律文件的规定，按有关规定计算并公告</w:t>
      </w:r>
      <w:r>
        <w:rPr>
          <w:rFonts w:hint="eastAsia" w:ascii="宋体" w:hAnsi="宋体"/>
          <w:color w:val="000000"/>
          <w:kern w:val="0"/>
          <w:sz w:val="24"/>
        </w:rPr>
        <w:t>基金资产净值、各类基金份额的每万份基金已实现收益和7日年化收益率</w:t>
      </w:r>
      <w:r>
        <w:rPr>
          <w:rFonts w:ascii="宋体" w:hAnsi="宋体"/>
          <w:color w:val="000000"/>
          <w:kern w:val="0"/>
          <w:sz w:val="24"/>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8</w:t>
      </w:r>
      <w:r>
        <w:rPr>
          <w:rFonts w:ascii="宋体" w:hAnsi="宋体"/>
          <w:color w:val="000000"/>
          <w:kern w:val="0"/>
          <w:sz w:val="24"/>
        </w:rPr>
        <w:t>、办理与基金</w:t>
      </w:r>
      <w:r>
        <w:rPr>
          <w:rFonts w:hint="eastAsia" w:ascii="宋体" w:hAnsi="宋体"/>
          <w:color w:val="000000"/>
          <w:kern w:val="0"/>
          <w:sz w:val="24"/>
        </w:rPr>
        <w:t>财</w:t>
      </w:r>
      <w:r>
        <w:rPr>
          <w:rFonts w:ascii="宋体" w:hAnsi="宋体"/>
          <w:color w:val="000000"/>
          <w:kern w:val="0"/>
          <w:sz w:val="24"/>
        </w:rPr>
        <w:t>产管理业务活动有关的信息披露事项；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9</w:t>
      </w:r>
      <w:r>
        <w:rPr>
          <w:rFonts w:ascii="宋体" w:hAnsi="宋体"/>
          <w:color w:val="000000"/>
          <w:kern w:val="0"/>
          <w:sz w:val="24"/>
        </w:rPr>
        <w:t>、</w:t>
      </w:r>
      <w:r>
        <w:rPr>
          <w:rFonts w:hint="eastAsia" w:ascii="宋体" w:hAnsi="宋体"/>
          <w:color w:val="000000"/>
          <w:kern w:val="0"/>
          <w:sz w:val="24"/>
        </w:rPr>
        <w:t>按照规定</w:t>
      </w:r>
      <w:r>
        <w:rPr>
          <w:rFonts w:ascii="宋体" w:hAnsi="宋体"/>
          <w:color w:val="000000"/>
          <w:kern w:val="0"/>
          <w:sz w:val="24"/>
        </w:rPr>
        <w:t>召集基金份额持有人大会；</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10</w:t>
      </w:r>
      <w:r>
        <w:rPr>
          <w:rFonts w:ascii="宋体" w:hAnsi="宋体"/>
          <w:color w:val="000000"/>
          <w:kern w:val="0"/>
          <w:sz w:val="24"/>
        </w:rPr>
        <w:t>、保存基金</w:t>
      </w:r>
      <w:r>
        <w:rPr>
          <w:rFonts w:hint="eastAsia" w:ascii="宋体" w:hAnsi="宋体"/>
          <w:color w:val="000000"/>
          <w:kern w:val="0"/>
          <w:sz w:val="24"/>
        </w:rPr>
        <w:t>财</w:t>
      </w:r>
      <w:r>
        <w:rPr>
          <w:rFonts w:ascii="宋体" w:hAnsi="宋体"/>
          <w:color w:val="000000"/>
          <w:kern w:val="0"/>
          <w:sz w:val="24"/>
        </w:rPr>
        <w:t>产管理业务活动的记录、账册、报表和其他相关资料；</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11</w:t>
      </w:r>
      <w:r>
        <w:rPr>
          <w:rFonts w:ascii="宋体" w:hAnsi="宋体"/>
          <w:color w:val="000000"/>
          <w:kern w:val="0"/>
          <w:sz w:val="24"/>
        </w:rPr>
        <w:t>、以基金管理人名义，代表基金份额持有人利益行使诉讼权利或者实施其他法律行为；</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12</w:t>
      </w:r>
      <w:r>
        <w:rPr>
          <w:rFonts w:ascii="宋体" w:hAnsi="宋体"/>
          <w:color w:val="000000"/>
          <w:kern w:val="0"/>
          <w:sz w:val="24"/>
        </w:rPr>
        <w:t>、中国证监会规定的其他职责。</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（四）基金管理人承诺</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1、本基金管理人将根据基金合同的规定，按照招募说明书列明的投资目标、策略及限制等全权处理本基金的投资。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2、本基金管理人不从事违反《中华人民共和国证券法》的行为，并建立健全内部控制制度，采取有效措施，防止违反《中华人民共和国证券法》行为的发生。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3、本基金管理人不从事违反《基金法》的行为，并建立健全内部控制制度，采取有效措施，保证基金财产不用于下列投资或者活动：</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（1）承销证券；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（2）违反规定向他人贷款或者提供担保；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（3）从事承担无限责任的投资；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pPr>
        <w:spacing w:line="360" w:lineRule="auto"/>
        <w:ind w:firstLine="480" w:firstLineChars="200"/>
        <w:rPr>
          <w:rFonts w:ascii="宋体" w:hAnsi="宋体"/>
          <w:color w:val="000000"/>
          <w:kern w:val="0"/>
          <w:sz w:val="24"/>
        </w:rPr>
      </w:pPr>
      <w:r>
        <w:rPr>
          <w:rFonts w:ascii="宋体" w:hAnsi="宋体"/>
          <w:color w:val="000000"/>
          <w:kern w:val="0"/>
          <w:sz w:val="24"/>
        </w:rPr>
        <w:t>（5）向其基金管理人、基金托管人出资</w:t>
      </w:r>
      <w:r>
        <w:rPr>
          <w:rFonts w:hint="eastAsia" w:ascii="宋体" w:hAnsi="宋体"/>
          <w:color w:val="000000"/>
          <w:kern w:val="0"/>
          <w:sz w:val="24"/>
        </w:rPr>
        <w:t>；</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pPr>
        <w:spacing w:line="360" w:lineRule="auto"/>
        <w:ind w:firstLine="480" w:firstLineChars="200"/>
        <w:rPr>
          <w:rFonts w:ascii="宋体" w:hAnsi="宋体"/>
          <w:color w:val="000000"/>
          <w:kern w:val="0"/>
          <w:sz w:val="24"/>
        </w:rPr>
      </w:pPr>
      <w:r>
        <w:rPr>
          <w:rFonts w:ascii="宋体" w:hAnsi="宋体"/>
          <w:color w:val="000000"/>
          <w:kern w:val="0"/>
          <w:sz w:val="24"/>
        </w:rPr>
        <w:t>（7）法律、行政法规和中国证监会规定禁止的其他活动</w:t>
      </w:r>
      <w:r>
        <w:rPr>
          <w:rFonts w:hint="eastAsia" w:ascii="宋体" w:hAnsi="宋体"/>
          <w:color w:val="000000"/>
          <w:kern w:val="0"/>
          <w:sz w:val="24"/>
        </w:rPr>
        <w:t>。</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（2）不公平地对待其管理的不同基金财产；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（3）利用基金财产或职务之便为基金份额持有人以外的第三人牟取利益；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（4）向基金份额持有人违规承诺收益或者承担损失；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（5）侵占、挪用基金财产；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（7）玩忽职守，不按照规定履行职责；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pPr>
        <w:spacing w:line="360" w:lineRule="auto"/>
        <w:ind w:firstLine="480" w:firstLineChars="200"/>
        <w:rPr>
          <w:rFonts w:ascii="宋体" w:hAnsi="宋体"/>
          <w:color w:val="000000"/>
          <w:kern w:val="0"/>
          <w:sz w:val="24"/>
        </w:rPr>
      </w:pPr>
      <w:r>
        <w:rPr>
          <w:rFonts w:ascii="宋体" w:hAnsi="宋体"/>
          <w:color w:val="000000"/>
          <w:kern w:val="0"/>
          <w:sz w:val="24"/>
        </w:rPr>
        <w:t xml:space="preserve">5、基金经理承诺 </w:t>
      </w:r>
    </w:p>
    <w:p>
      <w:pPr>
        <w:spacing w:line="360" w:lineRule="auto"/>
        <w:ind w:firstLine="480" w:firstLineChars="20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hint="eastAsia" w:ascii="宋体" w:hAnsi="宋体"/>
          <w:color w:val="000000"/>
          <w:kern w:val="0"/>
          <w:sz w:val="24"/>
        </w:rPr>
        <w:t>；</w:t>
      </w:r>
    </w:p>
    <w:p>
      <w:pPr>
        <w:spacing w:line="360" w:lineRule="auto"/>
        <w:ind w:firstLine="424" w:firstLineChars="177"/>
        <w:rPr>
          <w:rFonts w:ascii="宋体" w:hAnsi="宋体"/>
          <w:color w:val="000000"/>
          <w:kern w:val="0"/>
          <w:sz w:val="24"/>
        </w:rPr>
      </w:pPr>
      <w:r>
        <w:rPr>
          <w:rFonts w:ascii="宋体" w:hAnsi="宋体"/>
          <w:color w:val="000000"/>
          <w:kern w:val="0"/>
          <w:sz w:val="24"/>
        </w:rPr>
        <w:t>（2）不利用职务之便为自己、被代理人、被代表人、受雇人或任何其他第三人谋取不当利益</w:t>
      </w:r>
      <w:r>
        <w:rPr>
          <w:rFonts w:hint="eastAsia" w:ascii="宋体" w:hAnsi="宋体"/>
          <w:color w:val="000000"/>
          <w:kern w:val="0"/>
          <w:sz w:val="24"/>
        </w:rPr>
        <w:t>；</w:t>
      </w:r>
    </w:p>
    <w:p>
      <w:pPr>
        <w:spacing w:line="360" w:lineRule="auto"/>
        <w:ind w:firstLine="424" w:firstLineChars="177"/>
        <w:rPr>
          <w:rFonts w:ascii="宋体" w:hAnsi="宋体"/>
          <w:color w:val="000000"/>
          <w:kern w:val="0"/>
          <w:sz w:val="24"/>
        </w:rPr>
      </w:pPr>
      <w:r>
        <w:rPr>
          <w:rFonts w:ascii="宋体" w:hAnsi="宋体"/>
          <w:color w:val="000000"/>
          <w:kern w:val="0"/>
          <w:sz w:val="24"/>
        </w:rPr>
        <w:t>（3）不泄漏在任职期间知悉的有关证券、基金的商业秘密以及尚未依法公开的基金投资内容、基金投资计划等信息</w:t>
      </w:r>
      <w:r>
        <w:rPr>
          <w:rFonts w:hint="eastAsia" w:ascii="宋体" w:hAnsi="宋体"/>
          <w:color w:val="000000"/>
          <w:kern w:val="0"/>
          <w:sz w:val="24"/>
        </w:rPr>
        <w:t>；</w:t>
      </w:r>
    </w:p>
    <w:p>
      <w:pPr>
        <w:spacing w:line="360" w:lineRule="auto"/>
        <w:ind w:firstLine="424" w:firstLineChars="177"/>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pPr>
        <w:adjustRightInd w:val="0"/>
        <w:snapToGrid w:val="0"/>
        <w:spacing w:line="372" w:lineRule="auto"/>
        <w:ind w:firstLine="480" w:firstLineChars="200"/>
        <w:rPr>
          <w:rFonts w:ascii="宋体" w:hAnsi="宋体"/>
          <w:color w:val="000000"/>
          <w:kern w:val="0"/>
          <w:sz w:val="24"/>
        </w:rPr>
      </w:pPr>
      <w:r>
        <w:rPr>
          <w:rFonts w:hint="eastAsia" w:ascii="宋体" w:hAnsi="宋体"/>
          <w:color w:val="000000"/>
          <w:kern w:val="0"/>
          <w:sz w:val="24"/>
        </w:rPr>
        <w:t>（五）基金经理承诺</w:t>
      </w:r>
    </w:p>
    <w:p>
      <w:pPr>
        <w:adjustRightInd w:val="0"/>
        <w:snapToGrid w:val="0"/>
        <w:spacing w:line="372" w:lineRule="auto"/>
        <w:ind w:firstLine="480" w:firstLineChars="200"/>
        <w:rPr>
          <w:rFonts w:ascii="宋体" w:hAnsi="宋体"/>
          <w:color w:val="000000"/>
          <w:kern w:val="0"/>
          <w:sz w:val="24"/>
        </w:rPr>
      </w:pPr>
      <w:r>
        <w:rPr>
          <w:rFonts w:hint="eastAsia" w:ascii="宋体" w:hAnsi="宋体"/>
          <w:color w:val="000000"/>
          <w:kern w:val="0"/>
          <w:sz w:val="24"/>
        </w:rPr>
        <w:t>1、维护基金份额持有人的利益。在基金份额持有人的利益与公司、股东及与股东有关联关系的机构和个人等的利益发生冲突时，坚持基金份额持有人利益优先的原则；</w:t>
      </w:r>
    </w:p>
    <w:p>
      <w:pPr>
        <w:adjustRightInd w:val="0"/>
        <w:snapToGrid w:val="0"/>
        <w:spacing w:line="372" w:lineRule="auto"/>
        <w:ind w:firstLine="480" w:firstLineChars="200"/>
        <w:rPr>
          <w:rFonts w:ascii="宋体" w:hAnsi="宋体"/>
          <w:color w:val="000000"/>
          <w:kern w:val="0"/>
          <w:sz w:val="24"/>
        </w:rPr>
      </w:pPr>
      <w:r>
        <w:rPr>
          <w:rFonts w:hint="eastAsia" w:ascii="宋体" w:hAnsi="宋体"/>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pPr>
        <w:adjustRightInd w:val="0"/>
        <w:snapToGrid w:val="0"/>
        <w:spacing w:line="372" w:lineRule="auto"/>
        <w:ind w:firstLine="480" w:firstLineChars="200"/>
        <w:rPr>
          <w:rFonts w:ascii="宋体" w:hAnsi="宋体"/>
          <w:color w:val="000000"/>
          <w:kern w:val="0"/>
          <w:sz w:val="24"/>
        </w:rPr>
      </w:pPr>
      <w:r>
        <w:rPr>
          <w:rFonts w:hint="eastAsia" w:ascii="宋体" w:hAnsi="宋体"/>
          <w:color w:val="000000"/>
          <w:kern w:val="0"/>
          <w:sz w:val="24"/>
        </w:rPr>
        <w:t>3、独立、客观地履行职责，在作出投资建议或者进行投资活动时，不受他人干预，在授权范围内就投资、研究等事项作出客观、公正的独立判断；</w:t>
      </w:r>
    </w:p>
    <w:p>
      <w:pPr>
        <w:adjustRightInd w:val="0"/>
        <w:snapToGrid w:val="0"/>
        <w:spacing w:line="372" w:lineRule="auto"/>
        <w:ind w:firstLine="480" w:firstLineChars="200"/>
        <w:rPr>
          <w:rFonts w:ascii="宋体" w:hAnsi="宋体"/>
          <w:color w:val="000000"/>
          <w:kern w:val="0"/>
          <w:sz w:val="24"/>
        </w:rPr>
      </w:pPr>
      <w:r>
        <w:rPr>
          <w:rFonts w:hint="eastAsia" w:ascii="宋体" w:hAnsi="宋体"/>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pPr>
        <w:adjustRightInd w:val="0"/>
        <w:snapToGrid w:val="0"/>
        <w:spacing w:line="372" w:lineRule="auto"/>
        <w:ind w:firstLine="480" w:firstLineChars="200"/>
        <w:rPr>
          <w:rFonts w:ascii="宋体" w:hAnsi="宋体"/>
          <w:color w:val="000000"/>
          <w:kern w:val="0"/>
          <w:sz w:val="24"/>
        </w:rPr>
      </w:pPr>
      <w:r>
        <w:rPr>
          <w:rFonts w:hint="eastAsia" w:ascii="宋体" w:hAnsi="宋体"/>
          <w:color w:val="000000"/>
          <w:kern w:val="0"/>
          <w:sz w:val="24"/>
        </w:rPr>
        <w:t>5、不利用基金财产或利用管理基金财产之便向任何机构和个人进行利益输送，不从事或者配合他人从事损害基金份额持有人利益的活动。</w:t>
      </w:r>
    </w:p>
    <w:p>
      <w:pPr>
        <w:adjustRightInd w:val="0"/>
        <w:snapToGrid w:val="0"/>
        <w:spacing w:line="372" w:lineRule="auto"/>
        <w:ind w:firstLine="480" w:firstLineChars="200"/>
        <w:rPr>
          <w:rFonts w:ascii="宋体" w:hAnsi="宋体"/>
          <w:color w:val="000000"/>
          <w:kern w:val="0"/>
          <w:sz w:val="24"/>
        </w:rPr>
      </w:pPr>
      <w:r>
        <w:rPr>
          <w:rFonts w:hint="eastAsia" w:ascii="宋体" w:hAnsi="宋体"/>
          <w:color w:val="000000"/>
          <w:kern w:val="0"/>
          <w:sz w:val="24"/>
        </w:rPr>
        <w:t>（六）基金管理人的内部控制制度</w:t>
      </w:r>
    </w:p>
    <w:p>
      <w:pPr>
        <w:adjustRightInd w:val="0"/>
        <w:snapToGrid w:val="0"/>
        <w:spacing w:line="372" w:lineRule="auto"/>
        <w:ind w:firstLine="480" w:firstLineChars="200"/>
        <w:rPr>
          <w:rFonts w:ascii="宋体" w:hAnsi="宋体"/>
          <w:color w:val="000000"/>
          <w:kern w:val="0"/>
          <w:sz w:val="24"/>
        </w:rPr>
      </w:pPr>
      <w:r>
        <w:rPr>
          <w:rFonts w:hint="eastAsia" w:ascii="宋体" w:hAnsi="宋体"/>
          <w:color w:val="000000"/>
          <w:kern w:val="0"/>
          <w:sz w:val="24"/>
        </w:rPr>
        <w:t>1、风险控制目标</w:t>
      </w:r>
    </w:p>
    <w:p>
      <w:pPr>
        <w:adjustRightInd w:val="0"/>
        <w:snapToGrid w:val="0"/>
        <w:spacing w:line="372" w:lineRule="auto"/>
        <w:ind w:firstLine="480" w:firstLineChars="200"/>
        <w:rPr>
          <w:rFonts w:ascii="宋体" w:hAnsi="宋体"/>
          <w:color w:val="000000"/>
          <w:kern w:val="0"/>
          <w:sz w:val="24"/>
        </w:rPr>
      </w:pPr>
      <w:r>
        <w:rPr>
          <w:rFonts w:hint="eastAsia" w:ascii="宋体" w:hAnsi="宋体"/>
          <w:color w:val="000000"/>
          <w:kern w:val="0"/>
          <w:sz w:val="24"/>
        </w:rPr>
        <w:t>（1）在有效控制风险的前提下，实现基金份额持有人利益最大化；</w:t>
      </w:r>
    </w:p>
    <w:p>
      <w:pPr>
        <w:adjustRightInd w:val="0"/>
        <w:snapToGrid w:val="0"/>
        <w:spacing w:line="372" w:lineRule="auto"/>
        <w:ind w:firstLine="480" w:firstLineChars="200"/>
        <w:rPr>
          <w:rFonts w:ascii="宋体" w:hAnsi="宋体"/>
          <w:color w:val="000000"/>
          <w:kern w:val="0"/>
          <w:sz w:val="24"/>
        </w:rPr>
      </w:pPr>
      <w:r>
        <w:rPr>
          <w:rFonts w:hint="eastAsia" w:ascii="宋体" w:hAnsi="宋体"/>
          <w:color w:val="000000"/>
          <w:kern w:val="0"/>
          <w:sz w:val="24"/>
        </w:rPr>
        <w:t>（2）确保国家有关法律法规、行业规章和公司各项规章制度的贯彻执行；</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（3）建立符合现代企业制度要求的法人治理结构，形成科学合理的决策机制、执行机制和监督机制；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（4）将各种风险控制在合理的范围内，保障公司发展战略和经营目标的全面实施，维护基金份额持有人、公司及公司股东的合法权益；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（5）建立行之有效的风险控制系统，保障业务稳健运行，减轻或规避各种风险对公司发展战略和经营目标的干扰。</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2、建立风险控制制度应遵循的原则</w:t>
      </w:r>
    </w:p>
    <w:p>
      <w:pPr>
        <w:spacing w:line="360" w:lineRule="auto"/>
        <w:ind w:firstLine="480" w:firstLineChars="20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pPr>
        <w:spacing w:line="360" w:lineRule="auto"/>
        <w:ind w:firstLine="480" w:firstLineChars="20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pPr>
        <w:spacing w:line="360" w:lineRule="auto"/>
        <w:ind w:firstLine="480" w:firstLineChars="20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pPr>
        <w:spacing w:line="360" w:lineRule="auto"/>
        <w:ind w:firstLine="480" w:firstLineChars="20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pPr>
        <w:spacing w:line="360" w:lineRule="auto"/>
        <w:ind w:firstLine="480" w:firstLineChars="20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3、风险控制体系</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（1）风险控制制度体系</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公司风险控制制度体系由三个不同层次的制度构成：第一个层次是公司章程、内部控制大纲；第二个层次是基本管理制度；第三个层次是部门管理制度及各项业务规则。</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（2）风险控制组织体系</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风险控制组织体系包括两个层次：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第一层次：公司董事会层面对公司经营管理过程中的各类风险进行预防和控制的组织，主要是通过董事会下设的风险控制委员会和督察长来实现的。</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②督察长履行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第二层次：公司经营管理层包括风险管理委员会、监察稽核部及各职能部门对经营风险的预防和控制。</w:t>
      </w:r>
    </w:p>
    <w:p>
      <w:pPr>
        <w:numPr>
          <w:ilvl w:val="0"/>
          <w:numId w:val="4"/>
        </w:numPr>
        <w:spacing w:line="360" w:lineRule="auto"/>
        <w:ind w:left="0" w:firstLine="426"/>
        <w:rPr>
          <w:rFonts w:ascii="宋体" w:hAnsi="宋体"/>
          <w:color w:val="000000"/>
          <w:kern w:val="0"/>
          <w:sz w:val="24"/>
        </w:rPr>
      </w:pPr>
      <w:r>
        <w:rPr>
          <w:rFonts w:hint="eastAsia" w:ascii="宋体" w:hAnsi="宋体"/>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4、关于授权、研究、投资、交易等方面的控制点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（1）授权制度</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（2）研究业务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（3）基金投资业务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（4）交易业务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（5）基金会计核算</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（6）信息披露</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（7）监察稽核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公司设立督察长。督察长由董事会聘任或解聘，报中国证监会或</w:t>
      </w:r>
      <w:r>
        <w:rPr>
          <w:rFonts w:ascii="宋体" w:hAnsi="宋体"/>
          <w:color w:val="000000"/>
          <w:kern w:val="0"/>
          <w:sz w:val="24"/>
        </w:rPr>
        <w:t>其</w:t>
      </w:r>
      <w:r>
        <w:rPr>
          <w:rFonts w:hint="eastAsia" w:ascii="宋体" w:hAnsi="宋体"/>
          <w:color w:val="000000"/>
          <w:kern w:val="0"/>
          <w:sz w:val="24"/>
        </w:rPr>
        <w:t>指定</w:t>
      </w:r>
      <w:r>
        <w:rPr>
          <w:rFonts w:ascii="宋体" w:hAnsi="宋体"/>
          <w:color w:val="000000"/>
          <w:kern w:val="0"/>
          <w:sz w:val="24"/>
        </w:rPr>
        <w:t>的机构备案</w:t>
      </w:r>
      <w:r>
        <w:rPr>
          <w:rFonts w:hint="eastAsia" w:ascii="宋体" w:hAnsi="宋体"/>
          <w:color w:val="000000"/>
          <w:kern w:val="0"/>
          <w:sz w:val="24"/>
        </w:rPr>
        <w:t>，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5、风险管理和内部控制的措施</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w:t>
      </w:r>
      <w:r>
        <w:rPr>
          <w:rFonts w:ascii="宋体" w:hAnsi="宋体"/>
          <w:color w:val="000000"/>
          <w:kern w:val="0"/>
          <w:sz w:val="24"/>
        </w:rPr>
        <w:t>1</w:t>
      </w:r>
      <w:r>
        <w:rPr>
          <w:rFonts w:hint="eastAsia" w:ascii="宋体" w:hAnsi="宋体"/>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w:t>
      </w:r>
      <w:r>
        <w:rPr>
          <w:rFonts w:ascii="宋体" w:hAnsi="宋体"/>
          <w:color w:val="000000"/>
          <w:kern w:val="0"/>
          <w:sz w:val="24"/>
        </w:rPr>
        <w:t>2</w:t>
      </w:r>
      <w:r>
        <w:rPr>
          <w:rFonts w:hint="eastAsia" w:ascii="宋体" w:hAnsi="宋体"/>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w:t>
      </w:r>
      <w:r>
        <w:rPr>
          <w:rFonts w:ascii="宋体" w:hAnsi="宋体"/>
          <w:color w:val="000000"/>
          <w:kern w:val="0"/>
          <w:sz w:val="24"/>
        </w:rPr>
        <w:t>3</w:t>
      </w:r>
      <w:r>
        <w:rPr>
          <w:rFonts w:hint="eastAsia" w:ascii="宋体" w:hAnsi="宋体"/>
          <w:color w:val="000000"/>
          <w:kern w:val="0"/>
          <w:sz w:val="24"/>
        </w:rPr>
        <w:t>）建立、健全岗位责任制：建立、健全了岗位责任制，使每个员工都明确自己的任务、职责，并及时将各自工作领域中的风险隐患上报，以防范和减少风险。</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w:t>
      </w:r>
      <w:r>
        <w:rPr>
          <w:rFonts w:ascii="宋体" w:hAnsi="宋体"/>
          <w:color w:val="000000"/>
          <w:kern w:val="0"/>
          <w:sz w:val="24"/>
        </w:rPr>
        <w:t>4</w:t>
      </w:r>
      <w:r>
        <w:rPr>
          <w:rFonts w:hint="eastAsia" w:ascii="宋体" w:hAnsi="宋体"/>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w:t>
      </w:r>
      <w:r>
        <w:rPr>
          <w:rFonts w:ascii="宋体" w:hAnsi="宋体"/>
          <w:color w:val="000000"/>
          <w:kern w:val="0"/>
          <w:sz w:val="24"/>
        </w:rPr>
        <w:t>5</w:t>
      </w:r>
      <w:r>
        <w:rPr>
          <w:rFonts w:hint="eastAsia" w:ascii="宋体" w:hAnsi="宋体"/>
          <w:color w:val="000000"/>
          <w:kern w:val="0"/>
          <w:sz w:val="24"/>
        </w:rPr>
        <w:t>）建立有效的内部监控系统：建立了足够、有效的内部监控系统，如计算机预警系统、投资监控系统，能对可能出现的各种风险进行全面和实时的监控。</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w:t>
      </w:r>
      <w:r>
        <w:rPr>
          <w:rFonts w:ascii="宋体" w:hAnsi="宋体"/>
          <w:color w:val="000000"/>
          <w:kern w:val="0"/>
          <w:sz w:val="24"/>
        </w:rPr>
        <w:t>6</w:t>
      </w:r>
      <w:r>
        <w:rPr>
          <w:rFonts w:hint="eastAsia" w:ascii="宋体" w:hAnsi="宋体"/>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w:t>
      </w:r>
      <w:r>
        <w:rPr>
          <w:rFonts w:ascii="宋体" w:hAnsi="宋体"/>
          <w:color w:val="000000"/>
          <w:kern w:val="0"/>
          <w:sz w:val="24"/>
        </w:rPr>
        <w:t>7</w:t>
      </w:r>
      <w:r>
        <w:rPr>
          <w:rFonts w:hint="eastAsia" w:ascii="宋体" w:hAnsi="宋体"/>
          <w:color w:val="000000"/>
          <w:kern w:val="0"/>
          <w:sz w:val="24"/>
        </w:rPr>
        <w:t>）提供足够的培训：制定了完整的培训计划，为所有员工提供足够和适当的培训，使员工明确其职责所在，控制风险。</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6、基金管理人承诺上述关于内部控制的披露真实、准确，并承诺将根据市场环境的变化及公司的发展不断完善合规控制。</w:t>
      </w:r>
      <w:bookmarkEnd w:id="18"/>
    </w:p>
    <w:p>
      <w:pPr>
        <w:spacing w:line="360" w:lineRule="auto"/>
        <w:ind w:firstLine="480" w:firstLineChars="200"/>
        <w:rPr>
          <w:rFonts w:ascii="宋体" w:hAnsi="宋体"/>
          <w:color w:val="000000"/>
          <w:kern w:val="0"/>
          <w:sz w:val="24"/>
        </w:rPr>
      </w:pPr>
    </w:p>
    <w:p>
      <w:pPr>
        <w:pStyle w:val="2"/>
        <w:spacing w:before="120" w:beforeLines="50" w:after="120" w:afterLines="50" w:line="360" w:lineRule="auto"/>
        <w:ind w:firstLine="241" w:firstLineChars="100"/>
        <w:jc w:val="center"/>
        <w:rPr>
          <w:rFonts w:ascii="宋体" w:hAnsi="宋体"/>
          <w:color w:val="000000"/>
          <w:kern w:val="0"/>
          <w:sz w:val="24"/>
          <w:szCs w:val="24"/>
        </w:rPr>
        <w:sectPr>
          <w:footerReference r:id="rId7" w:type="default"/>
          <w:pgSz w:w="12240" w:h="15840"/>
          <w:pgMar w:top="1276" w:right="1800" w:bottom="1440" w:left="1800" w:header="720" w:footer="720" w:gutter="0"/>
          <w:pgNumType w:start="1"/>
          <w:cols w:space="720" w:num="1"/>
          <w:docGrid w:linePitch="286" w:charSpace="0"/>
        </w:sectPr>
      </w:pPr>
    </w:p>
    <w:p>
      <w:pPr>
        <w:pStyle w:val="2"/>
        <w:spacing w:line="360" w:lineRule="auto"/>
        <w:jc w:val="center"/>
        <w:rPr>
          <w:rFonts w:ascii="宋体" w:hAnsi="宋体"/>
          <w:color w:val="000000"/>
          <w:kern w:val="0"/>
          <w:sz w:val="24"/>
          <w:szCs w:val="24"/>
        </w:rPr>
      </w:pPr>
      <w:bookmarkStart w:id="19" w:name="_Toc20813"/>
      <w:bookmarkStart w:id="20" w:name="_Toc26099"/>
      <w:bookmarkStart w:id="21" w:name="_Toc482624792"/>
      <w:r>
        <w:rPr>
          <w:rFonts w:hint="eastAsia" w:ascii="宋体" w:hAnsi="宋体"/>
          <w:color w:val="000000"/>
          <w:kern w:val="0"/>
          <w:sz w:val="24"/>
          <w:szCs w:val="24"/>
        </w:rPr>
        <w:t>第四部分  基金托管人</w:t>
      </w:r>
      <w:bookmarkEnd w:id="19"/>
      <w:bookmarkEnd w:id="20"/>
      <w:bookmarkEnd w:id="21"/>
    </w:p>
    <w:p>
      <w:pPr>
        <w:spacing w:line="360" w:lineRule="auto"/>
        <w:ind w:firstLine="480" w:firstLineChars="200"/>
        <w:rPr>
          <w:rFonts w:ascii="宋体" w:hAnsi="宋体"/>
          <w:color w:val="000000"/>
          <w:kern w:val="0"/>
          <w:sz w:val="24"/>
        </w:rPr>
      </w:pPr>
      <w:r>
        <w:rPr>
          <w:rFonts w:hint="eastAsia" w:ascii="宋体" w:hAnsi="宋体"/>
          <w:color w:val="000000"/>
          <w:kern w:val="0"/>
          <w:sz w:val="24"/>
        </w:rPr>
        <w:t>（一）基金托管人基本情况</w:t>
      </w:r>
    </w:p>
    <w:p>
      <w:pPr>
        <w:spacing w:line="360" w:lineRule="auto"/>
        <w:ind w:firstLine="420"/>
        <w:rPr>
          <w:rFonts w:ascii="宋体" w:hAnsi="宋体"/>
          <w:color w:val="000000"/>
          <w:kern w:val="0"/>
          <w:sz w:val="24"/>
        </w:rPr>
      </w:pPr>
      <w:r>
        <w:rPr>
          <w:rFonts w:hint="eastAsia" w:ascii="宋体" w:hAnsi="宋体"/>
          <w:color w:val="000000"/>
          <w:kern w:val="0"/>
          <w:sz w:val="24"/>
        </w:rPr>
        <w:t>1、基本情况</w:t>
      </w:r>
    </w:p>
    <w:p>
      <w:pPr>
        <w:spacing w:line="360" w:lineRule="auto"/>
        <w:ind w:firstLine="420"/>
        <w:rPr>
          <w:rFonts w:ascii="宋体" w:hAnsi="宋体"/>
          <w:color w:val="000000"/>
          <w:kern w:val="0"/>
          <w:sz w:val="24"/>
        </w:rPr>
      </w:pPr>
      <w:r>
        <w:rPr>
          <w:rFonts w:hint="eastAsia" w:ascii="宋体" w:hAnsi="宋体"/>
          <w:color w:val="000000"/>
          <w:kern w:val="0"/>
          <w:sz w:val="24"/>
        </w:rPr>
        <w:t>名称：中国光大银行股份有限公司</w:t>
      </w:r>
    </w:p>
    <w:p>
      <w:pPr>
        <w:spacing w:line="360" w:lineRule="auto"/>
        <w:ind w:firstLine="420"/>
        <w:rPr>
          <w:rFonts w:ascii="宋体" w:hAnsi="宋体"/>
          <w:color w:val="000000"/>
          <w:kern w:val="0"/>
          <w:sz w:val="24"/>
        </w:rPr>
      </w:pPr>
      <w:r>
        <w:rPr>
          <w:rFonts w:hint="eastAsia" w:ascii="宋体" w:hAnsi="宋体"/>
          <w:color w:val="000000"/>
          <w:kern w:val="0"/>
          <w:sz w:val="24"/>
        </w:rPr>
        <w:t>住所及办公地址：北京市西城区太平桥大街25 号、甲25 号中国光大中心</w:t>
      </w:r>
    </w:p>
    <w:p>
      <w:pPr>
        <w:spacing w:line="360" w:lineRule="auto"/>
        <w:ind w:firstLine="420"/>
        <w:rPr>
          <w:rFonts w:ascii="宋体" w:hAnsi="宋体"/>
          <w:color w:val="000000"/>
          <w:kern w:val="0"/>
          <w:sz w:val="24"/>
        </w:rPr>
      </w:pPr>
      <w:r>
        <w:rPr>
          <w:rFonts w:hint="eastAsia" w:ascii="宋体" w:hAnsi="宋体"/>
          <w:color w:val="000000"/>
          <w:kern w:val="0"/>
          <w:sz w:val="24"/>
        </w:rPr>
        <w:t>成立日期：1992年6月18日</w:t>
      </w:r>
    </w:p>
    <w:p>
      <w:pPr>
        <w:spacing w:line="360" w:lineRule="auto"/>
        <w:ind w:firstLine="420"/>
        <w:rPr>
          <w:rFonts w:ascii="宋体" w:hAnsi="宋体"/>
          <w:color w:val="000000"/>
          <w:kern w:val="0"/>
          <w:sz w:val="24"/>
        </w:rPr>
      </w:pPr>
      <w:r>
        <w:rPr>
          <w:rFonts w:hint="eastAsia" w:ascii="宋体" w:hAnsi="宋体"/>
          <w:color w:val="000000"/>
          <w:kern w:val="0"/>
          <w:sz w:val="24"/>
        </w:rPr>
        <w:t>批准设立机关和批准设立文号：国务院、国函[1992]7号</w:t>
      </w:r>
    </w:p>
    <w:p>
      <w:pPr>
        <w:spacing w:line="360" w:lineRule="auto"/>
        <w:ind w:firstLine="420"/>
        <w:rPr>
          <w:rFonts w:ascii="宋体" w:hAnsi="宋体"/>
          <w:color w:val="000000"/>
          <w:kern w:val="0"/>
          <w:sz w:val="24"/>
        </w:rPr>
      </w:pPr>
      <w:r>
        <w:rPr>
          <w:rFonts w:hint="eastAsia" w:ascii="宋体" w:hAnsi="宋体"/>
          <w:color w:val="000000"/>
          <w:kern w:val="0"/>
          <w:sz w:val="24"/>
        </w:rPr>
        <w:t>组织形式：股份有限公司</w:t>
      </w:r>
    </w:p>
    <w:p>
      <w:pPr>
        <w:spacing w:line="360" w:lineRule="auto"/>
        <w:ind w:firstLine="420"/>
        <w:rPr>
          <w:rFonts w:ascii="宋体" w:hAnsi="宋体"/>
          <w:color w:val="000000"/>
          <w:kern w:val="0"/>
          <w:sz w:val="24"/>
        </w:rPr>
      </w:pPr>
      <w:r>
        <w:rPr>
          <w:rFonts w:hint="eastAsia" w:ascii="宋体" w:hAnsi="宋体"/>
          <w:color w:val="000000"/>
          <w:kern w:val="0"/>
          <w:sz w:val="24"/>
        </w:rPr>
        <w:t>注册资本：466.79095亿元人民币</w:t>
      </w:r>
    </w:p>
    <w:p>
      <w:pPr>
        <w:spacing w:line="360" w:lineRule="auto"/>
        <w:ind w:firstLine="420"/>
        <w:rPr>
          <w:rFonts w:ascii="宋体" w:hAnsi="宋体"/>
          <w:color w:val="000000"/>
          <w:kern w:val="0"/>
          <w:sz w:val="24"/>
        </w:rPr>
      </w:pPr>
      <w:r>
        <w:rPr>
          <w:rFonts w:hint="eastAsia" w:ascii="宋体" w:hAnsi="宋体"/>
          <w:color w:val="000000"/>
          <w:kern w:val="0"/>
          <w:sz w:val="24"/>
        </w:rPr>
        <w:t>法定代表人：唐双宁</w:t>
      </w:r>
    </w:p>
    <w:p>
      <w:pPr>
        <w:spacing w:line="360" w:lineRule="auto"/>
        <w:ind w:firstLine="420"/>
        <w:rPr>
          <w:rFonts w:ascii="宋体" w:hAnsi="宋体"/>
          <w:color w:val="000000"/>
          <w:kern w:val="0"/>
          <w:sz w:val="24"/>
        </w:rPr>
      </w:pPr>
      <w:r>
        <w:rPr>
          <w:rFonts w:hint="eastAsia" w:ascii="宋体" w:hAnsi="宋体"/>
          <w:color w:val="000000"/>
          <w:kern w:val="0"/>
          <w:sz w:val="24"/>
        </w:rPr>
        <w:t>基金托管业务批准文号：中国证监会证监基字【2002】75号</w:t>
      </w:r>
    </w:p>
    <w:p>
      <w:pPr>
        <w:spacing w:line="360" w:lineRule="auto"/>
        <w:ind w:firstLine="420"/>
        <w:rPr>
          <w:rFonts w:ascii="宋体" w:hAnsi="宋体"/>
          <w:color w:val="000000"/>
          <w:kern w:val="0"/>
          <w:sz w:val="24"/>
        </w:rPr>
      </w:pPr>
      <w:r>
        <w:rPr>
          <w:rFonts w:hint="eastAsia" w:ascii="宋体" w:hAnsi="宋体"/>
          <w:color w:val="000000"/>
          <w:kern w:val="0"/>
          <w:sz w:val="24"/>
        </w:rPr>
        <w:t>投资与托管部总经理：曾闻学</w:t>
      </w:r>
    </w:p>
    <w:p>
      <w:pPr>
        <w:spacing w:line="360" w:lineRule="auto"/>
        <w:ind w:firstLine="420"/>
        <w:rPr>
          <w:rFonts w:ascii="宋体" w:hAnsi="宋体"/>
          <w:color w:val="000000"/>
          <w:kern w:val="0"/>
          <w:sz w:val="24"/>
        </w:rPr>
      </w:pPr>
      <w:r>
        <w:rPr>
          <w:rFonts w:hint="eastAsia" w:ascii="宋体" w:hAnsi="宋体"/>
          <w:color w:val="000000"/>
          <w:kern w:val="0"/>
          <w:sz w:val="24"/>
        </w:rPr>
        <w:t>电话：（010） 63636363</w:t>
      </w:r>
    </w:p>
    <w:p>
      <w:pPr>
        <w:spacing w:line="360" w:lineRule="auto"/>
        <w:ind w:firstLine="420"/>
        <w:rPr>
          <w:rFonts w:ascii="宋体" w:hAnsi="宋体"/>
          <w:color w:val="000000"/>
          <w:kern w:val="0"/>
          <w:sz w:val="24"/>
        </w:rPr>
      </w:pPr>
      <w:r>
        <w:rPr>
          <w:rFonts w:hint="eastAsia" w:ascii="宋体" w:hAnsi="宋体"/>
          <w:color w:val="000000"/>
          <w:kern w:val="0"/>
          <w:sz w:val="24"/>
        </w:rPr>
        <w:t>传真：（010） 63639132</w:t>
      </w:r>
    </w:p>
    <w:p>
      <w:pPr>
        <w:spacing w:line="360" w:lineRule="auto"/>
        <w:ind w:firstLine="420"/>
        <w:rPr>
          <w:rFonts w:ascii="宋体" w:hAnsi="宋体"/>
          <w:color w:val="000000"/>
          <w:kern w:val="0"/>
          <w:sz w:val="24"/>
        </w:rPr>
      </w:pPr>
      <w:r>
        <w:rPr>
          <w:rFonts w:hint="eastAsia" w:ascii="宋体" w:hAnsi="宋体"/>
          <w:color w:val="000000"/>
          <w:kern w:val="0"/>
          <w:sz w:val="24"/>
        </w:rPr>
        <w:t>网址：www.cebbank.com</w:t>
      </w:r>
    </w:p>
    <w:p>
      <w:pPr>
        <w:spacing w:line="360" w:lineRule="auto"/>
        <w:ind w:firstLine="420"/>
        <w:rPr>
          <w:rFonts w:ascii="宋体" w:hAnsi="宋体"/>
          <w:color w:val="000000"/>
          <w:kern w:val="0"/>
          <w:sz w:val="24"/>
        </w:rPr>
      </w:pPr>
    </w:p>
    <w:p>
      <w:pPr>
        <w:spacing w:line="360" w:lineRule="auto"/>
        <w:ind w:firstLine="420"/>
        <w:rPr>
          <w:rFonts w:ascii="宋体" w:hAnsi="宋体"/>
          <w:color w:val="000000"/>
          <w:kern w:val="0"/>
          <w:sz w:val="24"/>
        </w:rPr>
      </w:pPr>
      <w:r>
        <w:rPr>
          <w:rFonts w:hint="eastAsia" w:ascii="宋体" w:hAnsi="宋体"/>
          <w:color w:val="000000"/>
          <w:kern w:val="0"/>
          <w:sz w:val="24"/>
        </w:rPr>
        <w:t>2、基金托管部门及主要人员情况</w:t>
      </w:r>
    </w:p>
    <w:p>
      <w:pPr>
        <w:spacing w:line="360" w:lineRule="auto"/>
        <w:ind w:firstLine="420"/>
        <w:rPr>
          <w:rFonts w:ascii="宋体" w:hAnsi="宋体"/>
          <w:color w:val="000000"/>
          <w:kern w:val="0"/>
          <w:sz w:val="24"/>
        </w:rPr>
      </w:pPr>
      <w:r>
        <w:rPr>
          <w:rFonts w:hint="eastAsia" w:ascii="宋体" w:hAnsi="宋体"/>
          <w:color w:val="000000"/>
          <w:kern w:val="0"/>
          <w:sz w:val="24"/>
          <w:lang w:val="zh-CN"/>
        </w:rPr>
        <w:t>法定代表人唐双宁先生，</w:t>
      </w:r>
      <w:r>
        <w:rPr>
          <w:rFonts w:hint="eastAsia" w:ascii="宋体" w:hAnsi="宋体"/>
          <w:color w:val="000000"/>
          <w:kern w:val="0"/>
          <w:sz w:val="24"/>
        </w:rPr>
        <w:t>历任中国人民建设银行沈阳市分行常务副行长、中国人民银行沈阳市分行行长，中国人民银行信贷管理司司长、货币金银局局长、银行监管一司司长，中国银行业监督管理委员会副主席，中国光大（集团）总公司董事长、党委书记等职务。现任十二届全国人大农业与农村委员会副主任，十一届全国政协委员，中国光大集团股份公司董事长、党委书记，中国光大集团有限公司董事长，兼任中国光大银行股份有限公司董事长、党委书记，中国光大控股有限公司董事局主席，中国光大国际有限公司董事局主席。</w:t>
      </w:r>
    </w:p>
    <w:p>
      <w:pPr>
        <w:spacing w:line="360" w:lineRule="auto"/>
        <w:ind w:firstLine="420"/>
        <w:rPr>
          <w:rFonts w:ascii="宋体" w:hAnsi="宋体"/>
          <w:color w:val="000000"/>
          <w:kern w:val="0"/>
          <w:sz w:val="24"/>
        </w:rPr>
      </w:pPr>
      <w:r>
        <w:rPr>
          <w:rFonts w:hint="eastAsia" w:ascii="宋体" w:hAnsi="宋体"/>
          <w:color w:val="000000"/>
          <w:kern w:val="0"/>
          <w:sz w:val="24"/>
          <w:lang w:val="zh-CN"/>
        </w:rPr>
        <w:t>行长张金良先生，</w:t>
      </w:r>
      <w:r>
        <w:rPr>
          <w:rFonts w:hint="eastAsia" w:ascii="宋体" w:hAnsi="宋体"/>
          <w:color w:val="000000"/>
          <w:kern w:val="0"/>
          <w:sz w:val="24"/>
        </w:rPr>
        <w:t xml:space="preserve"> 曾任中国银行财会部会计制度处副处长、处长、副总经理兼任IT蓝图实施办公室主任、总经理，中国银行北京市分行行长、党委书记，中国银行副行长、党委委员。现任中国光大集团股份公司执行董事、党委委员，兼任中国光大银行执行董事、行长、党委副书记。</w:t>
      </w:r>
    </w:p>
    <w:p>
      <w:pPr>
        <w:spacing w:line="360" w:lineRule="auto"/>
        <w:ind w:firstLine="420"/>
        <w:rPr>
          <w:rFonts w:ascii="宋体" w:hAnsi="宋体"/>
          <w:color w:val="000000"/>
          <w:kern w:val="0"/>
          <w:sz w:val="24"/>
        </w:rPr>
      </w:pPr>
      <w:r>
        <w:rPr>
          <w:rFonts w:hint="eastAsia" w:ascii="宋体" w:hAnsi="宋体"/>
          <w:color w:val="000000"/>
          <w:kern w:val="0"/>
          <w:sz w:val="24"/>
          <w:lang w:val="zh-CN"/>
        </w:rPr>
        <w:t>曾闻学先生，曾任中国光大银行办公室副总经理，中国光大银行北京分行副行长。现任中国光大银行股份有限公司投资托管部总经理。</w:t>
      </w:r>
    </w:p>
    <w:p>
      <w:pPr>
        <w:spacing w:line="360" w:lineRule="auto"/>
        <w:rPr>
          <w:rFonts w:ascii="宋体" w:hAnsi="宋体"/>
          <w:color w:val="000000"/>
          <w:kern w:val="0"/>
          <w:sz w:val="24"/>
        </w:rPr>
      </w:pPr>
    </w:p>
    <w:p>
      <w:pPr>
        <w:spacing w:line="360" w:lineRule="auto"/>
        <w:ind w:firstLine="420"/>
        <w:rPr>
          <w:rFonts w:ascii="宋体" w:hAnsi="宋体"/>
          <w:color w:val="000000"/>
          <w:kern w:val="0"/>
          <w:sz w:val="24"/>
        </w:rPr>
      </w:pPr>
      <w:r>
        <w:rPr>
          <w:rFonts w:hint="eastAsia" w:ascii="宋体" w:hAnsi="宋体"/>
          <w:color w:val="000000"/>
          <w:kern w:val="0"/>
          <w:sz w:val="24"/>
        </w:rPr>
        <w:t>3、证券投资基金托管情况</w:t>
      </w:r>
    </w:p>
    <w:p>
      <w:pPr>
        <w:spacing w:line="360" w:lineRule="auto"/>
        <w:ind w:firstLine="420"/>
        <w:rPr>
          <w:rFonts w:ascii="宋体" w:hAnsi="宋体"/>
          <w:color w:val="000000"/>
          <w:kern w:val="0"/>
          <w:sz w:val="24"/>
          <w:lang w:val="zh-CN"/>
        </w:rPr>
      </w:pPr>
      <w:r>
        <w:rPr>
          <w:rFonts w:hint="eastAsia" w:ascii="宋体" w:hAnsi="宋体"/>
          <w:color w:val="000000"/>
          <w:kern w:val="0"/>
          <w:sz w:val="24"/>
          <w:lang w:val="zh-CN"/>
        </w:rPr>
        <w:t>截至2017年</w:t>
      </w:r>
      <w:r>
        <w:rPr>
          <w:rFonts w:hint="eastAsia" w:ascii="宋体" w:hAnsi="宋体"/>
          <w:color w:val="000000"/>
          <w:kern w:val="0"/>
          <w:sz w:val="24"/>
        </w:rPr>
        <w:t>3</w:t>
      </w:r>
      <w:r>
        <w:rPr>
          <w:rFonts w:hint="eastAsia" w:ascii="宋体" w:hAnsi="宋体"/>
          <w:color w:val="000000"/>
          <w:kern w:val="0"/>
          <w:sz w:val="24"/>
          <w:lang w:val="zh-CN"/>
        </w:rPr>
        <w:t>月3</w:t>
      </w:r>
      <w:r>
        <w:rPr>
          <w:rFonts w:hint="eastAsia" w:ascii="宋体" w:hAnsi="宋体"/>
          <w:color w:val="000000"/>
          <w:kern w:val="0"/>
          <w:sz w:val="24"/>
        </w:rPr>
        <w:t>1</w:t>
      </w:r>
      <w:r>
        <w:rPr>
          <w:rFonts w:hint="eastAsia" w:ascii="宋体" w:hAnsi="宋体"/>
          <w:color w:val="000000"/>
          <w:kern w:val="0"/>
          <w:sz w:val="24"/>
          <w:lang w:val="zh-CN"/>
        </w:rPr>
        <w:t>日，中国光大银行股份有限公司托管国投瑞银创新动力股票型证券投资基金、国投瑞银景气行业证券投资基金、国投瑞银融华债券型证券投资基金、摩根士丹利华鑫资源优选混合型证券投资基金(LOF)、摩根士丹利华鑫基础行业证券投资基金、工银瑞信保本混合型证券投资基金、博时转债增强债券型证券投资基金、大成策略回报股票型证券投资基金、大成货币市场基金、建信恒稳价值混合型证券投资基金、光大保德信量化核心证券投资基金、国联安双佳信用分级债券型证券投资基金、泰信先行策略开放式证券投资基金、招商安本增利债券型证券投资基金、中欧新动力股票型证券投资基金（LOF）、国金通用国鑫灵活配置混合型发起式证券投资基金、农银汇理深证100指数增强型证券投资基金、益民核心增长灵活配置混合型证券投资基金、建信纯债债券型证券投资基金、兴业商业模式优选股票型证券投资基金、工银瑞信保本混合型证券投资基金、国金通用沪深300指数分级证券投资基金、中加货币市场基金、益民服务领先灵活配置混合型证券投资基金、建信健康民生混合型证券投资基金、鑫元一年定期开放债券型证券投资基金、江信聚福定期开放债券型发起式证券投资基金、鑫元稳利债券型证券投资基金、国金通用鑫安保本混合型证券投资基金、鑫元合享分级债券型证券投资基金、鑫元半年定期开放债券型证券投资金、东方红睿阳灵活配置混合型证券投资基金、建信信息产业股票型证券投资基金、泓德优选成长混合型证券投资基金、东方新策略灵活配置混合型证券投资基金、光大保德信鼎鑫灵活配置混合型证券投资基金、中融新动力灵活配置混合型证券投资基金、红塔红土盛金新动力灵活配置混合型证券投资基金、金鹰产业整合灵活配置混合型证券投资基金、大成景裕灵活配置混合型证券投资基金、财通多策略精选混合型证券投资基金、鹏华添利宝货币市场基金、江信同福灵活配置混合型证券投资基金、光大保德信耀钱包货币市场基金、大成景沛灵活配置混合型证券投资基金、易方达瑞选灵活配置混合型证券投资基金、中加心享灵活配置混合型证券投资基金、建信稳定丰利债券型证券投资基金、南方弘利定期开放债券型发起式证券投资基金、</w:t>
      </w:r>
      <w:r>
        <w:rPr>
          <w:rFonts w:hint="eastAsia" w:ascii="宋体" w:hAnsi="宋体"/>
          <w:color w:val="000000"/>
          <w:kern w:val="0"/>
          <w:sz w:val="24"/>
        </w:rPr>
        <w:t>鑫元兴利债券型证券投资基金、博时安泰18个月定期开放债券型证券投资基金、建信安心保本五号混合型证券投资基金、银华添益定期开放债券型证券投资基金、中欧强盈定期开放债券型证券投资基金、华夏恒利6个月定期开放债券型证券投资基金、易方达裕景添利6个月定期开放债券型证券投资基金、博时安怡6个月定期开放债券型证券投资基金、江信汇福定期开放债券型证券投资基金、鑫元双债增强债券型证券投资基金、工银瑞信瑞丰纯债半年定期开放债券型证券投资基金、富国泰利定期开放债券型发起式证券投资基金、大成景荣保本混合型证券投资基金、鹏华兴华定期开放灵活配置混合型证券投资基金、江信祺福债券型证券投资基金、浙商汇金聚利一年定期开放债券型证券投资基金、博时睿益定增灵活配置混合型证券投资基金、江信添福债券型证券投资基金、建信恒瑞一年定期开放债券型证券投资基金、景顺长城景泰汇利定期开放债券型证券投资基金、富荣货币市场基金、南方中证500量化增强股票型发起式证券投资基金、英大睿盛灵活配置混合型证券投资基金、工银瑞信丰益一年定期开放债券型证券投资基金、江信洪福纯债债券型证券投资基金、中银广利灵活配置混合型证券投资基金、浙商汇金中证转型成长指数型证券投资基金、华夏圆和灵活配置混合型证券投资基金、江信瑞福灵活配置混合型证券投资基金、广发景源纯债债券型证券投资基金、诺德成长精选灵活配置混合型证券投资基金、富荣富祥纯债债券型证券投资基金、建信中国制造2025股票型证券投资基金、鑫元瑞利债券型证券投资基金、九泰锐诚定增灵活配置混合型证券投资基金共84</w:t>
      </w:r>
      <w:r>
        <w:rPr>
          <w:rFonts w:hint="eastAsia" w:ascii="宋体" w:hAnsi="宋体"/>
          <w:color w:val="000000"/>
          <w:kern w:val="0"/>
          <w:sz w:val="24"/>
          <w:lang w:val="zh-CN"/>
        </w:rPr>
        <w:t>只证券投资基金，托管基金资产规模</w:t>
      </w:r>
      <w:r>
        <w:rPr>
          <w:rFonts w:hint="eastAsia" w:ascii="宋体" w:hAnsi="宋体"/>
          <w:color w:val="000000"/>
          <w:kern w:val="0"/>
          <w:sz w:val="24"/>
        </w:rPr>
        <w:t>1,892.86</w:t>
      </w:r>
      <w:r>
        <w:rPr>
          <w:rFonts w:hint="eastAsia" w:ascii="宋体" w:hAnsi="宋体"/>
          <w:color w:val="000000"/>
          <w:kern w:val="0"/>
          <w:sz w:val="24"/>
          <w:lang w:val="zh-CN"/>
        </w:rPr>
        <w:t>亿元。同时，开展了证券公司资产管理计划、专户理财、企业年金基金、QDII、银行理财、保险债权投资计划等资产的托管及信托公司资金信托计划、产业投资基金、股权基金等产品的保管业务。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（二）托管业务的内部控制制度</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1、内部控制目标</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2、内部控制的原则</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（1）全面性原则。内部控制必须渗透到基金托管业务的各个操作环节，覆盖所有的岗位，不留任何死角。</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（2）预防性原则。树立“预防为主”的管理理念，从风险发生的源头加强内部控制，防患于未然，尽量避免业务操作中各种问题的产生。</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（3）及时性原则。建立健全各项规章制度，采取有效措施加强内部控制。发现问题，及时处理，堵塞漏洞。</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（4）独立性原则。基金托管业务内部控制机构独立于基金托管业务执行机构，业务操作人员和内控人员分开，以保证内控机构的工作不受干扰。</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3、内部控制组织结构</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基金托管部建立了严密的内控督察体系，设立了风险管理处，负责证券投资基金托管业务的风险管理。</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4、内部控制制度</w:t>
      </w:r>
    </w:p>
    <w:p>
      <w:pPr>
        <w:spacing w:line="360" w:lineRule="auto"/>
        <w:ind w:firstLine="480" w:firstLineChars="200"/>
        <w:rPr>
          <w:rFonts w:ascii="宋体" w:hAnsi="宋体"/>
          <w:color w:val="000000"/>
          <w:kern w:val="0"/>
          <w:sz w:val="24"/>
        </w:rPr>
      </w:pPr>
      <w:r>
        <w:rPr>
          <w:rFonts w:hint="eastAsia" w:ascii="宋体" w:hAnsi="宋体"/>
          <w:color w:val="000000"/>
          <w:kern w:val="0"/>
          <w:sz w:val="24"/>
          <w:lang w:val="zh-CN"/>
        </w:rPr>
        <w:t>中国光大银行股份有限公司基金托管部自成立以来严格遵照《基金法》、《中华人民共和国商业银行法》、《信息披露办法》、《运作办法》、《销售办法》等法律、法规的要求，并根据相关法律法规制订、完善了《中国光大银行证券投资基金托管业务内部控制规定》、《中国光大银行基金托管部保密规定》等十余项规章制度和实施细则，将风险控制落实到每一个工作环节。中国光大银行基金托管部以控制和防范基金托管业务风险为主线，在重要岗位（基金清算、基金核算、监督稽核）还建立了安全保密区，安装了录象监视系统和录音监听系统，以保障基金信息的安全。</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（三）基金托管人对基金管理人运作基金进行监督的方法和程序</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p>
      <w:pPr>
        <w:pStyle w:val="2"/>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2" w:name="_Toc26497"/>
      <w:bookmarkStart w:id="23" w:name="_Toc256666786"/>
      <w:bookmarkStart w:id="24" w:name="_Toc482624793"/>
      <w:bookmarkStart w:id="25" w:name="_Toc256666914"/>
      <w:bookmarkStart w:id="26" w:name="_Toc6210"/>
      <w:r>
        <w:rPr>
          <w:rFonts w:hint="eastAsia" w:ascii="宋体" w:hAnsi="宋体"/>
          <w:color w:val="000000"/>
          <w:kern w:val="0"/>
          <w:sz w:val="24"/>
          <w:szCs w:val="24"/>
        </w:rPr>
        <w:t>第五部分  相关服务机构</w:t>
      </w:r>
      <w:bookmarkEnd w:id="22"/>
      <w:bookmarkEnd w:id="23"/>
      <w:bookmarkEnd w:id="24"/>
      <w:bookmarkEnd w:id="25"/>
      <w:bookmarkEnd w:id="26"/>
    </w:p>
    <w:p>
      <w:pPr>
        <w:spacing w:line="360" w:lineRule="auto"/>
        <w:ind w:firstLine="480" w:firstLineChars="200"/>
        <w:rPr>
          <w:rFonts w:ascii="宋体" w:hAnsi="宋体"/>
          <w:color w:val="000000"/>
          <w:kern w:val="0"/>
          <w:sz w:val="24"/>
        </w:rPr>
      </w:pPr>
      <w:bookmarkStart w:id="27" w:name="_Toc88969234"/>
      <w:r>
        <w:rPr>
          <w:rFonts w:hint="eastAsia" w:ascii="宋体" w:hAnsi="宋体"/>
          <w:color w:val="000000"/>
          <w:kern w:val="0"/>
          <w:sz w:val="24"/>
        </w:rPr>
        <w:t>（一）基金份额发售机构</w:t>
      </w:r>
      <w:bookmarkEnd w:id="27"/>
    </w:p>
    <w:p>
      <w:pPr>
        <w:spacing w:line="360" w:lineRule="auto"/>
        <w:ind w:firstLine="480" w:firstLineChars="200"/>
        <w:rPr>
          <w:rFonts w:ascii="宋体" w:hAnsi="宋体"/>
          <w:color w:val="000000"/>
          <w:kern w:val="0"/>
          <w:sz w:val="24"/>
        </w:rPr>
      </w:pPr>
      <w:r>
        <w:rPr>
          <w:rFonts w:hint="eastAsia" w:ascii="宋体" w:hAnsi="宋体"/>
          <w:color w:val="000000"/>
          <w:kern w:val="0"/>
          <w:sz w:val="24"/>
        </w:rPr>
        <w:t>1、直销机构：富荣基金管理有限公司直销中心</w:t>
      </w:r>
    </w:p>
    <w:p>
      <w:pPr>
        <w:spacing w:line="360" w:lineRule="auto"/>
        <w:ind w:firstLine="480" w:firstLineChars="200"/>
        <w:rPr>
          <w:rFonts w:ascii="宋体" w:hAnsi="宋体"/>
          <w:color w:val="000000"/>
          <w:kern w:val="0"/>
          <w:sz w:val="24"/>
        </w:rPr>
      </w:pPr>
      <w:r>
        <w:rPr>
          <w:rFonts w:hint="eastAsia" w:ascii="宋体" w:hAnsi="宋体"/>
          <w:sz w:val="24"/>
        </w:rPr>
        <w:t>注册地址</w:t>
      </w:r>
      <w:r>
        <w:rPr>
          <w:rFonts w:hint="eastAsia" w:ascii="宋体" w:hAnsi="宋体"/>
          <w:color w:val="000000"/>
          <w:kern w:val="0"/>
          <w:sz w:val="24"/>
        </w:rPr>
        <w:t xml:space="preserve">：广州市南沙区海滨路171号南沙金融大厦11楼1101之一J20室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办公地址：深圳市福田区深南大道2012号深圳证券交易所广场3501室</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法定代表人： 刘志军</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电话：0755-84356633</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传真：0755-83230787</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客服电话：4006855600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网站：www.furamc.com.cn</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2、其他销售机构：</w:t>
      </w:r>
    </w:p>
    <w:tbl>
      <w:tblPr>
        <w:tblStyle w:val="34"/>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551"/>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1526" w:type="dxa"/>
          </w:tcPr>
          <w:p>
            <w:pPr>
              <w:widowControl/>
              <w:jc w:val="center"/>
              <w:rPr>
                <w:rFonts w:ascii="宋体" w:hAnsi="宋体"/>
                <w:b/>
                <w:color w:val="000000"/>
                <w:kern w:val="0"/>
                <w:sz w:val="24"/>
              </w:rPr>
            </w:pPr>
            <w:r>
              <w:rPr>
                <w:rFonts w:hint="eastAsia" w:ascii="宋体" w:hAnsi="宋体"/>
                <w:b/>
                <w:color w:val="000000"/>
                <w:kern w:val="0"/>
                <w:sz w:val="24"/>
              </w:rPr>
              <w:t>序号</w:t>
            </w:r>
          </w:p>
        </w:tc>
        <w:tc>
          <w:tcPr>
            <w:tcW w:w="2551" w:type="dxa"/>
          </w:tcPr>
          <w:p>
            <w:pPr>
              <w:widowControl/>
              <w:jc w:val="center"/>
              <w:rPr>
                <w:rFonts w:ascii="宋体" w:hAnsi="宋体"/>
                <w:b/>
                <w:color w:val="000000"/>
                <w:kern w:val="0"/>
                <w:sz w:val="24"/>
              </w:rPr>
            </w:pPr>
            <w:r>
              <w:rPr>
                <w:rFonts w:hint="eastAsia" w:ascii="宋体" w:hAnsi="宋体"/>
                <w:b/>
                <w:color w:val="000000"/>
                <w:kern w:val="0"/>
                <w:sz w:val="24"/>
              </w:rPr>
              <w:t>代销机构名称</w:t>
            </w:r>
          </w:p>
        </w:tc>
        <w:tc>
          <w:tcPr>
            <w:tcW w:w="4536" w:type="dxa"/>
          </w:tcPr>
          <w:p>
            <w:pPr>
              <w:widowControl/>
              <w:jc w:val="center"/>
              <w:rPr>
                <w:rFonts w:ascii="宋体" w:hAnsi="宋体"/>
                <w:b/>
                <w:color w:val="000000"/>
                <w:kern w:val="0"/>
                <w:sz w:val="24"/>
              </w:rPr>
            </w:pPr>
            <w:r>
              <w:rPr>
                <w:rFonts w:hint="eastAsia" w:ascii="宋体" w:hAnsi="宋体"/>
                <w:b/>
                <w:color w:val="000000"/>
                <w:kern w:val="0"/>
                <w:sz w:val="24"/>
              </w:rPr>
              <w:t>代销机构信息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1</w:t>
            </w:r>
          </w:p>
        </w:tc>
        <w:tc>
          <w:tcPr>
            <w:tcW w:w="2551"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中国光大银行股份有限公司</w:t>
            </w:r>
          </w:p>
        </w:tc>
        <w:tc>
          <w:tcPr>
            <w:tcW w:w="4536" w:type="dxa"/>
          </w:tcPr>
          <w:p>
            <w:pPr>
              <w:spacing w:line="360" w:lineRule="auto"/>
              <w:jc w:val="left"/>
              <w:rPr>
                <w:rFonts w:ascii="宋体" w:hAnsi="宋体"/>
                <w:color w:val="000000"/>
                <w:kern w:val="0"/>
                <w:sz w:val="24"/>
              </w:rPr>
            </w:pPr>
            <w:r>
              <w:rPr>
                <w:rFonts w:hint="eastAsia" w:ascii="宋体" w:hAnsi="宋体"/>
                <w:color w:val="000000"/>
                <w:kern w:val="0"/>
                <w:sz w:val="24"/>
              </w:rPr>
              <w:t>办公地址：北京市西城区太平桥大街25 号、甲25 号中国光大中心</w:t>
            </w:r>
            <w:r>
              <w:rPr>
                <w:rFonts w:hint="eastAsia" w:ascii="宋体" w:hAnsi="宋体"/>
                <w:color w:val="000000"/>
                <w:kern w:val="0"/>
                <w:sz w:val="24"/>
              </w:rPr>
              <w:br w:type="textWrapping"/>
            </w:r>
            <w:r>
              <w:rPr>
                <w:rFonts w:hint="eastAsia" w:ascii="宋体" w:hAnsi="宋体"/>
                <w:color w:val="000000"/>
                <w:kern w:val="0"/>
                <w:sz w:val="24"/>
              </w:rPr>
              <w:t>客服电话： 95595</w:t>
            </w:r>
            <w:r>
              <w:rPr>
                <w:rFonts w:hint="eastAsia" w:ascii="宋体" w:hAnsi="宋体"/>
                <w:color w:val="000000"/>
                <w:kern w:val="0"/>
                <w:sz w:val="24"/>
              </w:rPr>
              <w:br w:type="textWrapping"/>
            </w:r>
            <w:r>
              <w:rPr>
                <w:rFonts w:hint="eastAsia" w:ascii="宋体" w:hAnsi="宋体"/>
                <w:color w:val="000000"/>
                <w:kern w:val="0"/>
                <w:sz w:val="24"/>
              </w:rPr>
              <w:t>公司网址：www.cebbank.com</w:t>
            </w:r>
          </w:p>
        </w:tc>
      </w:tr>
    </w:tbl>
    <w:tbl>
      <w:tblPr>
        <w:tblStyle w:val="33"/>
        <w:tblW w:w="8613" w:type="dxa"/>
        <w:tblInd w:w="0" w:type="dxa"/>
        <w:tblLayout w:type="fixed"/>
        <w:tblCellMar>
          <w:top w:w="0" w:type="dxa"/>
          <w:left w:w="108" w:type="dxa"/>
          <w:bottom w:w="0" w:type="dxa"/>
          <w:right w:w="108" w:type="dxa"/>
        </w:tblCellMar>
      </w:tblPr>
      <w:tblGrid>
        <w:gridCol w:w="1526"/>
        <w:gridCol w:w="2527"/>
        <w:gridCol w:w="4560"/>
      </w:tblGrid>
      <w:tr>
        <w:tblPrEx>
          <w:tblLayout w:type="fixed"/>
          <w:tblCellMar>
            <w:top w:w="0" w:type="dxa"/>
            <w:left w:w="108" w:type="dxa"/>
            <w:bottom w:w="0" w:type="dxa"/>
            <w:right w:w="108" w:type="dxa"/>
          </w:tblCellMar>
        </w:tblPrEx>
        <w:trPr>
          <w:trHeight w:val="510" w:hRule="atLeast"/>
        </w:trPr>
        <w:tc>
          <w:tcPr>
            <w:tcW w:w="1526" w:type="dxa"/>
            <w:tcBorders>
              <w:top w:val="nil"/>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olor w:val="000000"/>
                <w:kern w:val="0"/>
                <w:sz w:val="24"/>
              </w:rPr>
            </w:pPr>
            <w:r>
              <w:rPr>
                <w:rFonts w:hint="eastAsia" w:ascii="宋体" w:hAnsi="宋体"/>
                <w:color w:val="000000"/>
                <w:kern w:val="0"/>
                <w:sz w:val="24"/>
              </w:rPr>
              <w:t>2</w:t>
            </w:r>
          </w:p>
        </w:tc>
        <w:tc>
          <w:tcPr>
            <w:tcW w:w="2527" w:type="dxa"/>
            <w:tcBorders>
              <w:top w:val="nil"/>
              <w:left w:val="nil"/>
              <w:bottom w:val="single" w:color="auto" w:sz="4" w:space="0"/>
              <w:right w:val="single" w:color="auto" w:sz="4" w:space="0"/>
            </w:tcBorders>
            <w:shd w:val="clear" w:color="auto" w:fill="auto"/>
            <w:vAlign w:val="center"/>
          </w:tcPr>
          <w:p>
            <w:pPr>
              <w:spacing w:line="360" w:lineRule="auto"/>
              <w:jc w:val="center"/>
              <w:rPr>
                <w:rFonts w:ascii="宋体" w:hAnsi="宋体"/>
                <w:color w:val="000000"/>
                <w:kern w:val="0"/>
                <w:sz w:val="24"/>
              </w:rPr>
            </w:pPr>
            <w:r>
              <w:rPr>
                <w:rFonts w:hint="eastAsia" w:ascii="宋体" w:hAnsi="宋体"/>
                <w:color w:val="000000"/>
                <w:kern w:val="0"/>
                <w:sz w:val="24"/>
              </w:rPr>
              <w:t>深圳金斧子投资咨询有限公司</w:t>
            </w:r>
          </w:p>
        </w:tc>
        <w:tc>
          <w:tcPr>
            <w:tcW w:w="4560" w:type="dxa"/>
            <w:tcBorders>
              <w:top w:val="nil"/>
              <w:left w:val="nil"/>
              <w:bottom w:val="single" w:color="auto" w:sz="4" w:space="0"/>
              <w:right w:val="single" w:color="auto" w:sz="4" w:space="0"/>
            </w:tcBorders>
            <w:shd w:val="clear" w:color="auto" w:fill="auto"/>
            <w:vAlign w:val="center"/>
          </w:tcPr>
          <w:p>
            <w:pPr>
              <w:spacing w:line="360" w:lineRule="auto"/>
              <w:jc w:val="left"/>
              <w:rPr>
                <w:rFonts w:ascii="宋体" w:hAnsi="宋体"/>
                <w:color w:val="000000"/>
                <w:kern w:val="0"/>
                <w:sz w:val="24"/>
              </w:rPr>
            </w:pPr>
            <w:r>
              <w:rPr>
                <w:rFonts w:hint="eastAsia" w:ascii="宋体" w:hAnsi="宋体"/>
                <w:color w:val="000000"/>
                <w:kern w:val="0"/>
                <w:sz w:val="24"/>
              </w:rPr>
              <w:t>办公地址：深圳市南山区粤海街道科苑路16号东方科技大厦18楼</w:t>
            </w:r>
          </w:p>
          <w:p>
            <w:pPr>
              <w:spacing w:line="360" w:lineRule="auto"/>
              <w:jc w:val="left"/>
              <w:rPr>
                <w:rFonts w:ascii="宋体" w:hAnsi="宋体"/>
                <w:color w:val="000000"/>
                <w:kern w:val="0"/>
                <w:sz w:val="24"/>
              </w:rPr>
            </w:pPr>
            <w:r>
              <w:rPr>
                <w:rFonts w:hint="eastAsia" w:ascii="宋体" w:hAnsi="宋体"/>
                <w:color w:val="000000"/>
                <w:kern w:val="0"/>
                <w:sz w:val="24"/>
              </w:rPr>
              <w:t>客服电话：400-9500-888</w:t>
            </w:r>
          </w:p>
          <w:p>
            <w:pPr>
              <w:spacing w:line="360" w:lineRule="auto"/>
              <w:jc w:val="left"/>
              <w:rPr>
                <w:rFonts w:ascii="宋体" w:hAnsi="宋体"/>
                <w:color w:val="000000"/>
                <w:kern w:val="0"/>
                <w:sz w:val="24"/>
              </w:rPr>
            </w:pPr>
            <w:r>
              <w:rPr>
                <w:rFonts w:hint="eastAsia" w:ascii="宋体" w:hAnsi="宋体"/>
                <w:color w:val="000000"/>
                <w:kern w:val="0"/>
                <w:sz w:val="24"/>
              </w:rPr>
              <w:t>公司网址：www.jfzinv.com</w:t>
            </w:r>
          </w:p>
        </w:tc>
      </w:tr>
    </w:tbl>
    <w:tbl>
      <w:tblPr>
        <w:tblStyle w:val="34"/>
        <w:tblW w:w="86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2527"/>
        <w:gridCol w:w="24"/>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3</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上海陆金所资产管理有限公司</w:t>
            </w: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办公地址：中国（上海）自由贸易试验区陆家嘴环路1333号14楼09单元</w:t>
            </w:r>
          </w:p>
          <w:p>
            <w:pPr>
              <w:spacing w:line="360" w:lineRule="auto"/>
              <w:rPr>
                <w:rFonts w:ascii="宋体" w:hAnsi="宋体"/>
                <w:color w:val="000000"/>
                <w:kern w:val="0"/>
                <w:sz w:val="24"/>
              </w:rPr>
            </w:pPr>
            <w:r>
              <w:rPr>
                <w:rFonts w:hint="eastAsia" w:ascii="宋体" w:hAnsi="宋体"/>
                <w:color w:val="000000"/>
                <w:kern w:val="0"/>
                <w:sz w:val="24"/>
              </w:rPr>
              <w:t>客服电话：4008219031</w:t>
            </w:r>
          </w:p>
          <w:p>
            <w:pPr>
              <w:spacing w:line="360" w:lineRule="auto"/>
              <w:rPr>
                <w:rFonts w:ascii="宋体" w:hAnsi="宋体"/>
                <w:color w:val="000000"/>
                <w:kern w:val="0"/>
                <w:sz w:val="24"/>
              </w:rPr>
            </w:pPr>
            <w:r>
              <w:rPr>
                <w:rFonts w:hint="eastAsia" w:ascii="宋体" w:hAnsi="宋体"/>
                <w:color w:val="000000"/>
                <w:kern w:val="0"/>
                <w:sz w:val="24"/>
              </w:rPr>
              <w:t>公司网址：</w:t>
            </w:r>
            <w:r>
              <w:rPr>
                <w:rFonts w:ascii="宋体" w:hAnsi="宋体"/>
                <w:color w:val="000000"/>
                <w:kern w:val="0"/>
                <w:sz w:val="24"/>
              </w:rPr>
              <w:t>www.lufunds.com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4</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上海联泰资产管理有限公司</w:t>
            </w: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办公地址：中国（上海）自由贸易试验区富特北路277号3层310室</w:t>
            </w:r>
          </w:p>
          <w:p>
            <w:pPr>
              <w:spacing w:line="360" w:lineRule="auto"/>
              <w:rPr>
                <w:rFonts w:ascii="宋体" w:hAnsi="宋体"/>
                <w:color w:val="000000"/>
                <w:kern w:val="0"/>
                <w:sz w:val="24"/>
              </w:rPr>
            </w:pPr>
            <w:r>
              <w:rPr>
                <w:rFonts w:hint="eastAsia" w:ascii="宋体" w:hAnsi="宋体"/>
                <w:color w:val="000000"/>
                <w:kern w:val="0"/>
                <w:sz w:val="24"/>
              </w:rPr>
              <w:t>客服电话：4000466788</w:t>
            </w:r>
          </w:p>
          <w:p>
            <w:pPr>
              <w:spacing w:line="360" w:lineRule="auto"/>
              <w:rPr>
                <w:rFonts w:ascii="宋体" w:hAnsi="宋体"/>
                <w:color w:val="000000"/>
                <w:kern w:val="0"/>
                <w:sz w:val="24"/>
              </w:rPr>
            </w:pPr>
            <w:r>
              <w:rPr>
                <w:rFonts w:hint="eastAsia" w:ascii="宋体" w:hAnsi="宋体"/>
                <w:color w:val="000000"/>
                <w:kern w:val="0"/>
                <w:sz w:val="24"/>
              </w:rPr>
              <w:t>公司网址：</w:t>
            </w:r>
            <w:r>
              <w:rPr>
                <w:rFonts w:ascii="宋体" w:hAnsi="宋体"/>
                <w:color w:val="000000"/>
                <w:kern w:val="0"/>
                <w:sz w:val="24"/>
              </w:rPr>
              <w:t xml:space="preserve"> www.66zichan.com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5</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上海天天基金销售有限公司</w:t>
            </w: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办公地址：上海市徐汇区龙田路190号2号楼二层</w:t>
            </w:r>
          </w:p>
          <w:p>
            <w:pPr>
              <w:spacing w:line="360" w:lineRule="auto"/>
              <w:rPr>
                <w:rFonts w:ascii="宋体" w:hAnsi="宋体"/>
                <w:color w:val="000000"/>
                <w:kern w:val="0"/>
                <w:sz w:val="24"/>
              </w:rPr>
            </w:pPr>
            <w:r>
              <w:rPr>
                <w:rFonts w:hint="eastAsia" w:ascii="宋体" w:hAnsi="宋体"/>
                <w:color w:val="000000"/>
                <w:kern w:val="0"/>
                <w:sz w:val="24"/>
              </w:rPr>
              <w:t>客服电话：4001818188</w:t>
            </w:r>
          </w:p>
          <w:p>
            <w:pPr>
              <w:spacing w:line="360" w:lineRule="auto"/>
              <w:rPr>
                <w:rFonts w:ascii="宋体" w:hAnsi="宋体"/>
                <w:color w:val="000000"/>
                <w:kern w:val="0"/>
                <w:sz w:val="24"/>
              </w:rPr>
            </w:pPr>
            <w:r>
              <w:rPr>
                <w:rFonts w:hint="eastAsia" w:ascii="宋体" w:hAnsi="宋体"/>
                <w:color w:val="000000"/>
                <w:kern w:val="0"/>
                <w:sz w:val="24"/>
              </w:rPr>
              <w:t>公司网址：</w:t>
            </w:r>
            <w:r>
              <w:rPr>
                <w:rFonts w:ascii="宋体" w:hAnsi="宋体"/>
                <w:color w:val="000000"/>
                <w:kern w:val="0"/>
                <w:sz w:val="24"/>
              </w:rPr>
              <w:t xml:space="preserve"> fund.eastmoney.com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6</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北京虹点基金销售有限公司</w:t>
            </w:r>
          </w:p>
          <w:p>
            <w:pPr>
              <w:spacing w:line="360" w:lineRule="auto"/>
              <w:jc w:val="center"/>
              <w:rPr>
                <w:rFonts w:ascii="宋体" w:hAnsi="宋体"/>
                <w:color w:val="000000"/>
                <w:kern w:val="0"/>
                <w:sz w:val="24"/>
              </w:rPr>
            </w:pP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办公地址：北京市朝阳区工人体育场北路甲2号裙房2层222单元</w:t>
            </w:r>
          </w:p>
          <w:p>
            <w:pPr>
              <w:spacing w:line="360" w:lineRule="auto"/>
              <w:rPr>
                <w:rFonts w:ascii="宋体" w:hAnsi="宋体"/>
                <w:color w:val="000000"/>
                <w:kern w:val="0"/>
                <w:sz w:val="24"/>
              </w:rPr>
            </w:pPr>
            <w:r>
              <w:rPr>
                <w:rFonts w:hint="eastAsia" w:ascii="宋体" w:hAnsi="宋体"/>
                <w:color w:val="000000"/>
                <w:kern w:val="0"/>
                <w:sz w:val="24"/>
              </w:rPr>
              <w:t>客服电话：4000681176</w:t>
            </w:r>
          </w:p>
          <w:p>
            <w:pPr>
              <w:spacing w:line="360" w:lineRule="auto"/>
              <w:rPr>
                <w:rFonts w:ascii="宋体" w:hAnsi="宋体"/>
                <w:color w:val="000000"/>
                <w:kern w:val="0"/>
                <w:sz w:val="24"/>
              </w:rPr>
            </w:pPr>
            <w:r>
              <w:rPr>
                <w:rFonts w:hint="eastAsia" w:ascii="宋体" w:hAnsi="宋体"/>
                <w:color w:val="000000"/>
                <w:kern w:val="0"/>
                <w:sz w:val="24"/>
              </w:rPr>
              <w:t>公司网址：</w:t>
            </w:r>
            <w:r>
              <w:rPr>
                <w:rFonts w:ascii="宋体" w:hAnsi="宋体"/>
                <w:color w:val="000000"/>
                <w:kern w:val="0"/>
                <w:sz w:val="24"/>
              </w:rPr>
              <w:t>www.jimufund.com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7</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平安证券股份有限公司</w:t>
            </w: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办公地址：深圳市福田区金田路4036号荣超大厦16-20层</w:t>
            </w:r>
          </w:p>
          <w:p>
            <w:pPr>
              <w:spacing w:line="360" w:lineRule="auto"/>
              <w:rPr>
                <w:rFonts w:ascii="宋体" w:hAnsi="宋体"/>
                <w:color w:val="000000"/>
                <w:kern w:val="0"/>
                <w:sz w:val="24"/>
              </w:rPr>
            </w:pPr>
            <w:r>
              <w:rPr>
                <w:rFonts w:hint="eastAsia" w:ascii="宋体" w:hAnsi="宋体"/>
                <w:color w:val="000000"/>
                <w:kern w:val="0"/>
                <w:sz w:val="24"/>
              </w:rPr>
              <w:t>客服电话：95511</w:t>
            </w:r>
          </w:p>
          <w:p>
            <w:pPr>
              <w:spacing w:line="360" w:lineRule="auto"/>
              <w:rPr>
                <w:rFonts w:ascii="宋体" w:hAnsi="宋体"/>
                <w:color w:val="000000"/>
                <w:kern w:val="0"/>
                <w:sz w:val="24"/>
              </w:rPr>
            </w:pPr>
            <w:r>
              <w:rPr>
                <w:rFonts w:hint="eastAsia" w:ascii="宋体" w:hAnsi="宋体"/>
                <w:color w:val="000000"/>
                <w:kern w:val="0"/>
                <w:sz w:val="24"/>
              </w:rPr>
              <w:t>公司网址：</w:t>
            </w:r>
            <w:r>
              <w:fldChar w:fldCharType="begin"/>
            </w:r>
            <w:r>
              <w:instrText xml:space="preserve"> HYPERLINK "http://www.stock.pingan.com/" \t "_blank" </w:instrText>
            </w:r>
            <w:r>
              <w:fldChar w:fldCharType="separate"/>
            </w:r>
            <w:r>
              <w:rPr>
                <w:rFonts w:ascii="宋体" w:hAnsi="宋体"/>
                <w:color w:val="000000"/>
                <w:kern w:val="0"/>
                <w:sz w:val="24"/>
              </w:rPr>
              <w:t>www.stock.pingan.com</w:t>
            </w:r>
            <w:r>
              <w:rPr>
                <w:rFonts w:ascii="宋体" w:hAnsi="宋体"/>
                <w:color w:val="000000"/>
                <w:kern w:val="0"/>
                <w:sz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8</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北京钱景财富投资管理有限公司</w:t>
            </w: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办公地址：北京市海淀区丹棱街6号1幢9层1008-1012</w:t>
            </w:r>
          </w:p>
          <w:p>
            <w:pPr>
              <w:spacing w:line="360" w:lineRule="auto"/>
              <w:rPr>
                <w:rFonts w:ascii="宋体" w:hAnsi="宋体"/>
                <w:color w:val="000000"/>
                <w:kern w:val="0"/>
                <w:sz w:val="24"/>
              </w:rPr>
            </w:pPr>
            <w:r>
              <w:rPr>
                <w:rFonts w:hint="eastAsia" w:ascii="宋体" w:hAnsi="宋体"/>
                <w:color w:val="000000"/>
                <w:kern w:val="0"/>
                <w:sz w:val="24"/>
              </w:rPr>
              <w:t>客服电话：4008936885</w:t>
            </w:r>
          </w:p>
          <w:p>
            <w:pPr>
              <w:spacing w:line="360" w:lineRule="auto"/>
              <w:rPr>
                <w:rFonts w:ascii="宋体" w:hAnsi="宋体"/>
                <w:color w:val="000000"/>
                <w:kern w:val="0"/>
                <w:sz w:val="24"/>
              </w:rPr>
            </w:pPr>
            <w:r>
              <w:rPr>
                <w:rFonts w:hint="eastAsia" w:ascii="宋体" w:hAnsi="宋体"/>
                <w:color w:val="000000"/>
                <w:kern w:val="0"/>
                <w:sz w:val="24"/>
              </w:rPr>
              <w:t>公司网址：</w:t>
            </w:r>
            <w:r>
              <w:rPr>
                <w:rFonts w:ascii="宋体" w:hAnsi="宋体"/>
                <w:color w:val="000000"/>
                <w:kern w:val="0"/>
                <w:sz w:val="24"/>
              </w:rPr>
              <w:t>www.qianjing.com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9</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上海好买基金销售有限公司</w:t>
            </w:r>
          </w:p>
        </w:tc>
        <w:tc>
          <w:tcPr>
            <w:tcW w:w="4560" w:type="dxa"/>
            <w:gridSpan w:val="2"/>
          </w:tcPr>
          <w:p>
            <w:pPr>
              <w:spacing w:line="360" w:lineRule="auto"/>
              <w:rPr>
                <w:rFonts w:ascii="宋体" w:hAnsi="宋体"/>
                <w:color w:val="000000"/>
                <w:kern w:val="0"/>
                <w:sz w:val="24"/>
              </w:rPr>
            </w:pPr>
            <w:r>
              <w:rPr>
                <w:rFonts w:hint="eastAsia" w:ascii="宋体" w:hAnsi="宋体"/>
                <w:color w:val="000000"/>
                <w:kern w:val="0"/>
                <w:sz w:val="24"/>
              </w:rPr>
              <w:t>办公地址：上海市浦东新区浦东南路1118号鄂尔多斯大厦9楼</w:t>
            </w:r>
          </w:p>
          <w:p>
            <w:pPr>
              <w:spacing w:line="360" w:lineRule="auto"/>
              <w:rPr>
                <w:rFonts w:ascii="宋体" w:hAnsi="宋体"/>
                <w:color w:val="000000"/>
                <w:kern w:val="0"/>
                <w:sz w:val="24"/>
              </w:rPr>
            </w:pPr>
            <w:r>
              <w:rPr>
                <w:rFonts w:hint="eastAsia" w:ascii="宋体" w:hAnsi="宋体"/>
                <w:color w:val="000000"/>
                <w:kern w:val="0"/>
                <w:sz w:val="24"/>
              </w:rPr>
              <w:t>客服电话：400-700-9665</w:t>
            </w:r>
          </w:p>
          <w:p>
            <w:pPr>
              <w:spacing w:line="360" w:lineRule="auto"/>
              <w:rPr>
                <w:rFonts w:ascii="宋体" w:hAnsi="宋体"/>
                <w:color w:val="000000"/>
                <w:kern w:val="0"/>
                <w:sz w:val="24"/>
              </w:rPr>
            </w:pPr>
            <w:r>
              <w:rPr>
                <w:rFonts w:hint="eastAsia" w:ascii="宋体" w:hAnsi="宋体"/>
                <w:color w:val="000000"/>
                <w:kern w:val="0"/>
                <w:sz w:val="24"/>
              </w:rPr>
              <w:t>公司网址：www.ehowbuy.com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10</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上海基煜基金销售有限公司</w:t>
            </w:r>
          </w:p>
        </w:tc>
        <w:tc>
          <w:tcPr>
            <w:tcW w:w="4560" w:type="dxa"/>
            <w:gridSpan w:val="2"/>
          </w:tcPr>
          <w:p>
            <w:pPr>
              <w:spacing w:line="360" w:lineRule="auto"/>
              <w:jc w:val="left"/>
              <w:rPr>
                <w:rFonts w:ascii="宋体" w:hAnsi="宋体"/>
                <w:color w:val="000000"/>
                <w:kern w:val="0"/>
                <w:sz w:val="24"/>
              </w:rPr>
            </w:pPr>
            <w:r>
              <w:rPr>
                <w:rFonts w:hint="eastAsia" w:ascii="宋体" w:hAnsi="宋体"/>
                <w:color w:val="000000"/>
                <w:kern w:val="0"/>
                <w:sz w:val="24"/>
              </w:rPr>
              <w:t>办公地址：上海市崇明县长兴镇潘园公路1800号2号楼6153室</w:t>
            </w:r>
          </w:p>
          <w:p>
            <w:pPr>
              <w:spacing w:line="360" w:lineRule="auto"/>
              <w:rPr>
                <w:rFonts w:ascii="宋体" w:hAnsi="宋体"/>
                <w:color w:val="000000"/>
                <w:kern w:val="0"/>
                <w:sz w:val="24"/>
              </w:rPr>
            </w:pPr>
            <w:r>
              <w:rPr>
                <w:rFonts w:hint="eastAsia" w:ascii="宋体" w:hAnsi="宋体"/>
                <w:color w:val="000000"/>
                <w:kern w:val="0"/>
                <w:sz w:val="24"/>
              </w:rPr>
              <w:t>客服电话：</w:t>
            </w:r>
            <w:r>
              <w:rPr>
                <w:rFonts w:ascii="宋体" w:hAnsi="宋体"/>
                <w:color w:val="000000"/>
                <w:kern w:val="0"/>
                <w:sz w:val="24"/>
              </w:rPr>
              <w:t>400-820-5369</w:t>
            </w:r>
          </w:p>
          <w:p>
            <w:pPr>
              <w:spacing w:line="360" w:lineRule="auto"/>
              <w:rPr>
                <w:rFonts w:ascii="宋体" w:hAnsi="宋体"/>
                <w:color w:val="000000"/>
                <w:kern w:val="0"/>
                <w:sz w:val="24"/>
              </w:rPr>
            </w:pPr>
            <w:r>
              <w:rPr>
                <w:rFonts w:hint="eastAsia" w:ascii="宋体" w:hAnsi="宋体"/>
                <w:color w:val="000000"/>
                <w:kern w:val="0"/>
                <w:sz w:val="24"/>
              </w:rPr>
              <w:t>公司网址：</w:t>
            </w:r>
            <w:r>
              <w:fldChar w:fldCharType="begin"/>
            </w:r>
            <w:r>
              <w:instrText xml:space="preserve"> HYPERLINK "http://www.jiyufund.com.cn/" \t "_blank" </w:instrText>
            </w:r>
            <w:r>
              <w:fldChar w:fldCharType="separate"/>
            </w:r>
            <w:r>
              <w:rPr>
                <w:rFonts w:ascii="宋体" w:hAnsi="宋体"/>
                <w:color w:val="000000"/>
                <w:kern w:val="0"/>
                <w:sz w:val="24"/>
              </w:rPr>
              <w:t>www.jiyufund.com.cn</w:t>
            </w:r>
            <w:r>
              <w:rPr>
                <w:rFonts w:ascii="宋体" w:hAnsi="宋体"/>
                <w:color w:val="000000"/>
                <w:kern w:val="0"/>
                <w:sz w:val="24"/>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11</w:t>
            </w:r>
          </w:p>
        </w:tc>
        <w:tc>
          <w:tcPr>
            <w:tcW w:w="2527"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北京肯特瑞财富投资管理有限公司</w:t>
            </w:r>
          </w:p>
        </w:tc>
        <w:tc>
          <w:tcPr>
            <w:tcW w:w="4560" w:type="dxa"/>
            <w:gridSpan w:val="2"/>
          </w:tcPr>
          <w:p>
            <w:pPr>
              <w:spacing w:line="360" w:lineRule="auto"/>
              <w:jc w:val="left"/>
              <w:rPr>
                <w:rFonts w:ascii="宋体" w:hAnsi="宋体"/>
                <w:color w:val="000000"/>
                <w:kern w:val="0"/>
                <w:sz w:val="24"/>
              </w:rPr>
            </w:pPr>
            <w:r>
              <w:rPr>
                <w:rFonts w:hint="eastAsia" w:ascii="宋体" w:hAnsi="宋体"/>
                <w:color w:val="000000"/>
                <w:kern w:val="0"/>
                <w:sz w:val="24"/>
              </w:rPr>
              <w:t>办公地址：北京市亦庄经济开发区科创十一街18号A座</w:t>
            </w:r>
          </w:p>
          <w:p>
            <w:pPr>
              <w:spacing w:line="360" w:lineRule="auto"/>
              <w:rPr>
                <w:rFonts w:ascii="宋体" w:hAnsi="宋体"/>
                <w:color w:val="000000"/>
                <w:kern w:val="0"/>
                <w:sz w:val="24"/>
              </w:rPr>
            </w:pPr>
            <w:r>
              <w:rPr>
                <w:rFonts w:hint="eastAsia" w:ascii="宋体" w:hAnsi="宋体"/>
                <w:color w:val="000000"/>
                <w:kern w:val="0"/>
                <w:sz w:val="24"/>
              </w:rPr>
              <w:t>客服电话：</w:t>
            </w:r>
            <w:r>
              <w:rPr>
                <w:rFonts w:ascii="宋体" w:hAnsi="宋体"/>
                <w:color w:val="000000"/>
                <w:kern w:val="0"/>
                <w:sz w:val="24"/>
              </w:rPr>
              <w:t>95118</w:t>
            </w:r>
          </w:p>
          <w:p>
            <w:pPr>
              <w:spacing w:line="360" w:lineRule="auto"/>
              <w:rPr>
                <w:rFonts w:ascii="宋体" w:hAnsi="宋体"/>
                <w:color w:val="000000"/>
                <w:kern w:val="0"/>
                <w:sz w:val="24"/>
              </w:rPr>
            </w:pPr>
            <w:r>
              <w:rPr>
                <w:rFonts w:hint="eastAsia" w:ascii="宋体" w:hAnsi="宋体"/>
                <w:color w:val="000000"/>
                <w:kern w:val="0"/>
                <w:sz w:val="24"/>
              </w:rPr>
              <w:t>公司网址：www.fund.jd.com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12</w:t>
            </w:r>
          </w:p>
        </w:tc>
        <w:tc>
          <w:tcPr>
            <w:tcW w:w="2551" w:type="dxa"/>
            <w:gridSpan w:val="2"/>
            <w:vAlign w:val="center"/>
          </w:tcPr>
          <w:p>
            <w:pPr>
              <w:spacing w:line="360" w:lineRule="auto"/>
              <w:jc w:val="center"/>
              <w:rPr>
                <w:rFonts w:ascii="宋体" w:hAnsi="宋体"/>
                <w:color w:val="000000"/>
                <w:kern w:val="0"/>
                <w:sz w:val="24"/>
              </w:rPr>
            </w:pPr>
            <w:r>
              <w:rPr>
                <w:rFonts w:hint="eastAsia" w:ascii="宋体" w:hAnsi="宋体"/>
                <w:color w:val="000000"/>
                <w:kern w:val="0"/>
                <w:sz w:val="24"/>
              </w:rPr>
              <w:t>江苏金百临投资咨询股份有限公司</w:t>
            </w:r>
          </w:p>
        </w:tc>
        <w:tc>
          <w:tcPr>
            <w:tcW w:w="4536" w:type="dxa"/>
          </w:tcPr>
          <w:p>
            <w:pPr>
              <w:spacing w:line="360" w:lineRule="auto"/>
              <w:jc w:val="left"/>
              <w:rPr>
                <w:rFonts w:ascii="宋体" w:hAnsi="宋体"/>
                <w:color w:val="000000"/>
                <w:kern w:val="0"/>
                <w:sz w:val="24"/>
              </w:rPr>
            </w:pPr>
            <w:r>
              <w:rPr>
                <w:rFonts w:hint="eastAsia" w:ascii="宋体" w:hAnsi="宋体"/>
                <w:color w:val="000000"/>
                <w:kern w:val="0"/>
                <w:sz w:val="24"/>
              </w:rPr>
              <w:t>办公地址：无锡市太湖新城锦溪道楝泽路9号楼</w:t>
            </w:r>
          </w:p>
          <w:p>
            <w:pPr>
              <w:spacing w:line="360" w:lineRule="auto"/>
              <w:rPr>
                <w:rFonts w:ascii="宋体" w:hAnsi="宋体"/>
                <w:color w:val="000000"/>
                <w:kern w:val="0"/>
                <w:sz w:val="24"/>
              </w:rPr>
            </w:pPr>
            <w:r>
              <w:rPr>
                <w:rFonts w:hint="eastAsia" w:ascii="宋体" w:hAnsi="宋体"/>
                <w:color w:val="000000"/>
                <w:kern w:val="0"/>
                <w:sz w:val="24"/>
              </w:rPr>
              <w:t>客服电话：0510-9688988</w:t>
            </w:r>
          </w:p>
          <w:p>
            <w:pPr>
              <w:spacing w:line="360" w:lineRule="auto"/>
              <w:rPr>
                <w:rFonts w:ascii="宋体" w:hAnsi="宋体"/>
                <w:color w:val="000000"/>
                <w:kern w:val="0"/>
                <w:sz w:val="24"/>
              </w:rPr>
            </w:pPr>
            <w:r>
              <w:rPr>
                <w:rFonts w:hint="eastAsia" w:ascii="宋体" w:hAnsi="宋体"/>
                <w:color w:val="000000"/>
                <w:kern w:val="0"/>
                <w:sz w:val="24"/>
              </w:rPr>
              <w:t>公司网址：www.jsjbl.com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13</w:t>
            </w:r>
          </w:p>
        </w:tc>
        <w:tc>
          <w:tcPr>
            <w:tcW w:w="2551" w:type="dxa"/>
            <w:gridSpan w:val="2"/>
            <w:vAlign w:val="center"/>
          </w:tcPr>
          <w:p>
            <w:pPr>
              <w:spacing w:line="360" w:lineRule="auto"/>
              <w:jc w:val="center"/>
              <w:rPr>
                <w:rFonts w:ascii="宋体" w:hAnsi="宋体"/>
                <w:color w:val="000000"/>
                <w:kern w:val="0"/>
                <w:sz w:val="24"/>
              </w:rPr>
            </w:pPr>
            <w:r>
              <w:rPr>
                <w:rFonts w:hint="eastAsia" w:ascii="宋体" w:hAnsi="宋体"/>
                <w:color w:val="000000"/>
                <w:kern w:val="0"/>
                <w:sz w:val="24"/>
              </w:rPr>
              <w:t>珠海华润银行股份有限公司</w:t>
            </w:r>
          </w:p>
        </w:tc>
        <w:tc>
          <w:tcPr>
            <w:tcW w:w="4536" w:type="dxa"/>
          </w:tcPr>
          <w:p>
            <w:pPr>
              <w:spacing w:line="360" w:lineRule="auto"/>
              <w:jc w:val="left"/>
              <w:rPr>
                <w:rFonts w:ascii="宋体" w:hAnsi="宋体"/>
                <w:color w:val="000000"/>
                <w:kern w:val="0"/>
                <w:sz w:val="24"/>
              </w:rPr>
            </w:pPr>
            <w:r>
              <w:rPr>
                <w:rFonts w:hint="eastAsia" w:ascii="宋体" w:hAnsi="宋体"/>
                <w:color w:val="000000"/>
                <w:kern w:val="0"/>
                <w:sz w:val="24"/>
              </w:rPr>
              <w:t>办公地址：广东省珠海市吉大九州大道东1346号</w:t>
            </w:r>
          </w:p>
          <w:p>
            <w:pPr>
              <w:spacing w:line="360" w:lineRule="auto"/>
              <w:rPr>
                <w:rFonts w:ascii="宋体" w:hAnsi="宋体"/>
                <w:color w:val="000000"/>
                <w:kern w:val="0"/>
                <w:sz w:val="24"/>
              </w:rPr>
            </w:pPr>
            <w:r>
              <w:rPr>
                <w:rFonts w:hint="eastAsia" w:ascii="宋体" w:hAnsi="宋体"/>
                <w:color w:val="000000"/>
                <w:kern w:val="0"/>
                <w:sz w:val="24"/>
              </w:rPr>
              <w:t>客服电话：96588</w:t>
            </w:r>
          </w:p>
          <w:p>
            <w:pPr>
              <w:spacing w:line="360" w:lineRule="auto"/>
              <w:rPr>
                <w:rFonts w:ascii="宋体" w:hAnsi="宋体"/>
                <w:color w:val="000000"/>
                <w:kern w:val="0"/>
                <w:sz w:val="24"/>
              </w:rPr>
            </w:pPr>
            <w:r>
              <w:rPr>
                <w:rFonts w:hint="eastAsia" w:ascii="宋体" w:hAnsi="宋体"/>
                <w:color w:val="000000"/>
                <w:kern w:val="0"/>
                <w:sz w:val="24"/>
              </w:rPr>
              <w:t>公司网址：www.crbank.com.cn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26" w:type="dxa"/>
            <w:vAlign w:val="center"/>
          </w:tcPr>
          <w:p>
            <w:pPr>
              <w:spacing w:line="360" w:lineRule="auto"/>
              <w:jc w:val="center"/>
              <w:rPr>
                <w:rFonts w:ascii="宋体" w:hAnsi="宋体"/>
                <w:color w:val="000000"/>
                <w:kern w:val="0"/>
                <w:sz w:val="24"/>
              </w:rPr>
            </w:pPr>
            <w:r>
              <w:rPr>
                <w:rFonts w:hint="eastAsia" w:ascii="宋体" w:hAnsi="宋体"/>
                <w:color w:val="000000"/>
                <w:kern w:val="0"/>
                <w:sz w:val="24"/>
              </w:rPr>
              <w:t>14</w:t>
            </w:r>
          </w:p>
        </w:tc>
        <w:tc>
          <w:tcPr>
            <w:tcW w:w="2551" w:type="dxa"/>
            <w:gridSpan w:val="2"/>
            <w:vAlign w:val="center"/>
          </w:tcPr>
          <w:p>
            <w:pPr>
              <w:spacing w:line="360" w:lineRule="auto"/>
              <w:jc w:val="center"/>
              <w:rPr>
                <w:rFonts w:ascii="宋体" w:hAnsi="宋体"/>
                <w:color w:val="000000"/>
                <w:kern w:val="0"/>
                <w:sz w:val="24"/>
              </w:rPr>
            </w:pPr>
            <w:r>
              <w:rPr>
                <w:rFonts w:hint="eastAsia" w:ascii="宋体" w:hAnsi="宋体"/>
                <w:color w:val="000000"/>
                <w:kern w:val="0"/>
                <w:sz w:val="24"/>
              </w:rPr>
              <w:t>包商银行股份有限公司</w:t>
            </w:r>
          </w:p>
        </w:tc>
        <w:tc>
          <w:tcPr>
            <w:tcW w:w="4536" w:type="dxa"/>
          </w:tcPr>
          <w:p>
            <w:pPr>
              <w:spacing w:line="360" w:lineRule="auto"/>
              <w:jc w:val="left"/>
              <w:rPr>
                <w:rFonts w:ascii="宋体" w:hAnsi="宋体"/>
                <w:color w:val="000000"/>
                <w:kern w:val="0"/>
                <w:sz w:val="24"/>
              </w:rPr>
            </w:pPr>
            <w:r>
              <w:rPr>
                <w:rFonts w:hint="eastAsia" w:ascii="宋体" w:hAnsi="宋体"/>
                <w:color w:val="000000"/>
                <w:kern w:val="0"/>
                <w:sz w:val="24"/>
              </w:rPr>
              <w:t>办公地址：内蒙古自治区包头市青山区钢铁大街６号</w:t>
            </w:r>
          </w:p>
          <w:p>
            <w:pPr>
              <w:spacing w:line="360" w:lineRule="auto"/>
              <w:rPr>
                <w:rFonts w:ascii="宋体" w:hAnsi="宋体"/>
                <w:color w:val="000000"/>
                <w:kern w:val="0"/>
                <w:sz w:val="24"/>
              </w:rPr>
            </w:pPr>
            <w:r>
              <w:rPr>
                <w:rFonts w:hint="eastAsia" w:ascii="宋体" w:hAnsi="宋体"/>
                <w:color w:val="000000"/>
                <w:kern w:val="0"/>
                <w:sz w:val="24"/>
              </w:rPr>
              <w:t>客服电话：95352</w:t>
            </w:r>
          </w:p>
          <w:p>
            <w:pPr>
              <w:spacing w:line="360" w:lineRule="auto"/>
              <w:rPr>
                <w:rFonts w:ascii="宋体" w:hAnsi="宋体"/>
                <w:color w:val="000000"/>
                <w:kern w:val="0"/>
                <w:sz w:val="24"/>
              </w:rPr>
            </w:pPr>
            <w:r>
              <w:rPr>
                <w:rFonts w:hint="eastAsia" w:ascii="宋体" w:hAnsi="宋体"/>
                <w:color w:val="000000"/>
                <w:kern w:val="0"/>
                <w:sz w:val="24"/>
              </w:rPr>
              <w:t>公司网址：www.bsb.com.cn</w:t>
            </w:r>
          </w:p>
        </w:tc>
      </w:tr>
    </w:tbl>
    <w:p>
      <w:pPr>
        <w:spacing w:line="360" w:lineRule="auto"/>
        <w:rPr>
          <w:rFonts w:ascii="宋体" w:hAnsi="宋体"/>
          <w:color w:val="000000"/>
          <w:kern w:val="0"/>
          <w:sz w:val="24"/>
        </w:rPr>
      </w:pPr>
    </w:p>
    <w:p>
      <w:pPr>
        <w:spacing w:line="360" w:lineRule="auto"/>
        <w:ind w:firstLine="480" w:firstLineChars="200"/>
        <w:rPr>
          <w:rFonts w:ascii="宋体" w:hAnsi="宋体"/>
          <w:color w:val="000000"/>
          <w:kern w:val="0"/>
          <w:sz w:val="24"/>
        </w:rPr>
      </w:pPr>
      <w:bookmarkStart w:id="28" w:name="_Toc88969235"/>
      <w:r>
        <w:rPr>
          <w:rFonts w:hint="eastAsia" w:ascii="宋体" w:hAnsi="宋体"/>
          <w:color w:val="000000"/>
          <w:kern w:val="0"/>
          <w:sz w:val="24"/>
        </w:rPr>
        <w:t>（二）</w:t>
      </w:r>
      <w:bookmarkEnd w:id="28"/>
      <w:r>
        <w:rPr>
          <w:rFonts w:hint="eastAsia" w:ascii="宋体" w:hAnsi="宋体"/>
          <w:color w:val="000000"/>
          <w:kern w:val="0"/>
          <w:sz w:val="24"/>
        </w:rPr>
        <w:t>登记机构</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名称：富荣基金管理有限公司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住所：广东省广州市南沙区海滨路171号南沙金融大厦11楼1101之一J20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办公地址：深圳市福田区深南大道2012号深圳证券交易所广场3501室</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法定代表人：刘志军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联系人：黄文飞</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电话： 0755-843566</w:t>
      </w:r>
      <w:r>
        <w:rPr>
          <w:rFonts w:ascii="宋体" w:hAnsi="宋体"/>
          <w:color w:val="000000"/>
          <w:kern w:val="0"/>
          <w:sz w:val="24"/>
        </w:rPr>
        <w:t>04</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传真： 0755-83230787</w:t>
      </w:r>
    </w:p>
    <w:p>
      <w:pPr>
        <w:spacing w:line="360" w:lineRule="auto"/>
        <w:ind w:firstLine="480" w:firstLineChars="200"/>
        <w:rPr>
          <w:rFonts w:ascii="宋体" w:hAnsi="宋体"/>
          <w:color w:val="000000"/>
          <w:kern w:val="0"/>
          <w:sz w:val="24"/>
        </w:rPr>
      </w:pPr>
      <w:bookmarkStart w:id="29" w:name="_Toc88969236"/>
      <w:r>
        <w:rPr>
          <w:rFonts w:hint="eastAsia" w:ascii="宋体" w:hAnsi="宋体"/>
          <w:color w:val="000000"/>
          <w:kern w:val="0"/>
          <w:sz w:val="24"/>
        </w:rPr>
        <w:t>（三）出具法律意见书的律师事务所</w:t>
      </w:r>
      <w:bookmarkEnd w:id="29"/>
    </w:p>
    <w:p>
      <w:pPr>
        <w:spacing w:line="360" w:lineRule="auto"/>
        <w:ind w:firstLine="480" w:firstLineChars="200"/>
        <w:rPr>
          <w:rFonts w:ascii="宋体" w:hAnsi="宋体"/>
          <w:color w:val="000000"/>
          <w:kern w:val="0"/>
          <w:sz w:val="24"/>
        </w:rPr>
      </w:pPr>
      <w:bookmarkStart w:id="30" w:name="_Toc88969237"/>
      <w:r>
        <w:rPr>
          <w:rFonts w:hint="eastAsia" w:ascii="宋体" w:hAnsi="宋体"/>
          <w:color w:val="000000"/>
          <w:kern w:val="0"/>
          <w:sz w:val="24"/>
        </w:rPr>
        <w:t>名称：上海市通力律师事务所</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住所：上海市银城中路68号时代金融中心19楼</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办公地址：上海市银城中路68号时代金融中心19楼</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负责人：俞卫锋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电话：021-31358666</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传真：021-31358600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经办律师：安冬 陆奇</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联系人： 安冬</w:t>
      </w:r>
    </w:p>
    <w:p>
      <w:pPr>
        <w:adjustRightInd w:val="0"/>
        <w:snapToGrid w:val="0"/>
        <w:spacing w:line="360" w:lineRule="auto"/>
        <w:ind w:firstLine="480" w:firstLineChars="200"/>
        <w:rPr>
          <w:rFonts w:ascii="宋体" w:hAnsi="宋体"/>
          <w:color w:val="000000"/>
          <w:kern w:val="0"/>
          <w:sz w:val="24"/>
        </w:rPr>
      </w:pPr>
      <w:r>
        <w:rPr>
          <w:rFonts w:hint="eastAsia" w:ascii="宋体" w:hAnsi="宋体"/>
          <w:color w:val="000000"/>
          <w:kern w:val="0"/>
          <w:sz w:val="24"/>
        </w:rPr>
        <w:t>（四）会计师事务所和经办注册会计师</w:t>
      </w:r>
      <w:bookmarkEnd w:id="30"/>
    </w:p>
    <w:p>
      <w:pPr>
        <w:adjustRightInd w:val="0"/>
        <w:snapToGrid w:val="0"/>
        <w:spacing w:line="360" w:lineRule="auto"/>
        <w:rPr>
          <w:rFonts w:ascii="宋体" w:hAnsi="宋体"/>
          <w:color w:val="000000"/>
          <w:sz w:val="24"/>
        </w:rPr>
      </w:pPr>
      <w:r>
        <w:rPr>
          <w:rFonts w:hint="eastAsia" w:ascii="宋体" w:hAnsi="宋体"/>
          <w:color w:val="000000"/>
          <w:sz w:val="24"/>
        </w:rPr>
        <w:t xml:space="preserve">    名称：普华永道中天会计师事务所（特殊普通合伙）</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住所：上海市浦东新区陆家嘴环路1318号星展银行大厦6楼</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办公地址：上海市黄浦区湖滨路202号普华永道中心11楼</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法定代表人：李丹</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电话：（021）2323 8888</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传真：（021）2323 8800</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签字注册会计师：曹翠丽、边晓红</w:t>
      </w:r>
    </w:p>
    <w:p>
      <w:pPr>
        <w:adjustRightInd w:val="0"/>
        <w:snapToGrid w:val="0"/>
        <w:spacing w:line="360" w:lineRule="auto"/>
        <w:ind w:firstLine="424" w:firstLineChars="177"/>
        <w:rPr>
          <w:rFonts w:ascii="宋体" w:hAnsi="宋体"/>
          <w:color w:val="000000"/>
          <w:sz w:val="24"/>
        </w:rPr>
      </w:pPr>
      <w:r>
        <w:rPr>
          <w:rFonts w:hint="eastAsia" w:ascii="宋体" w:hAnsi="宋体"/>
          <w:color w:val="000000"/>
          <w:sz w:val="24"/>
        </w:rPr>
        <w:t>联系人：边晓红</w:t>
      </w:r>
    </w:p>
    <w:p>
      <w:pPr>
        <w:adjustRightInd w:val="0"/>
        <w:snapToGrid w:val="0"/>
        <w:spacing w:line="360" w:lineRule="auto"/>
        <w:rPr>
          <w:rFonts w:ascii="宋体" w:hAnsi="宋体"/>
          <w:bCs/>
          <w:color w:val="000000"/>
          <w:sz w:val="24"/>
          <w:szCs w:val="20"/>
        </w:rPr>
      </w:pPr>
    </w:p>
    <w:p>
      <w:pPr>
        <w:spacing w:line="360" w:lineRule="auto"/>
        <w:rPr>
          <w:rFonts w:ascii="宋体" w:hAnsi="宋体"/>
          <w:bCs/>
          <w:color w:val="000000"/>
          <w:sz w:val="24"/>
          <w:szCs w:val="20"/>
        </w:rPr>
      </w:pPr>
    </w:p>
    <w:p>
      <w:pPr>
        <w:pStyle w:val="2"/>
        <w:spacing w:line="360" w:lineRule="auto"/>
        <w:jc w:val="center"/>
        <w:rPr>
          <w:rFonts w:ascii="宋体" w:hAnsi="宋体"/>
          <w:color w:val="000000"/>
          <w:kern w:val="0"/>
          <w:sz w:val="24"/>
          <w:szCs w:val="24"/>
        </w:rPr>
      </w:pPr>
      <w:r>
        <w:rPr>
          <w:rFonts w:cs="Arial"/>
        </w:rPr>
        <w:br w:type="page"/>
      </w:r>
      <w:bookmarkStart w:id="31" w:name="_Toc482624795"/>
      <w:bookmarkStart w:id="32" w:name="_Toc21861"/>
      <w:bookmarkStart w:id="33" w:name="_Toc28223"/>
      <w:bookmarkStart w:id="34" w:name="_Toc256666795"/>
      <w:bookmarkStart w:id="35" w:name="_Toc256666915"/>
      <w:r>
        <w:rPr>
          <w:rFonts w:hint="eastAsia" w:ascii="宋体" w:hAnsi="宋体"/>
          <w:color w:val="000000"/>
          <w:kern w:val="0"/>
          <w:sz w:val="24"/>
          <w:szCs w:val="24"/>
        </w:rPr>
        <w:t>第六部分  基金的募集</w:t>
      </w:r>
      <w:bookmarkEnd w:id="31"/>
      <w:bookmarkEnd w:id="32"/>
      <w:bookmarkEnd w:id="33"/>
      <w:bookmarkEnd w:id="34"/>
      <w:bookmarkEnd w:id="35"/>
      <w:bookmarkStart w:id="36" w:name="_Toc88969239"/>
    </w:p>
    <w:bookmarkEnd w:id="36"/>
    <w:p>
      <w:pPr>
        <w:spacing w:line="360" w:lineRule="auto"/>
        <w:ind w:firstLine="480" w:firstLineChars="200"/>
        <w:rPr>
          <w:rFonts w:ascii="宋体" w:hAnsi="宋体"/>
          <w:color w:val="000000"/>
          <w:kern w:val="0"/>
          <w:sz w:val="24"/>
        </w:rPr>
      </w:pPr>
      <w:r>
        <w:rPr>
          <w:rFonts w:hint="eastAsia" w:ascii="宋体" w:hAnsi="宋体"/>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hint="eastAsia" w:ascii="宋体" w:hAnsi="宋体"/>
          <w:color w:val="000000"/>
          <w:kern w:val="0"/>
          <w:sz w:val="24"/>
        </w:rPr>
        <w:t>年</w:t>
      </w:r>
      <w:r>
        <w:rPr>
          <w:rFonts w:ascii="宋体" w:hAnsi="宋体"/>
          <w:color w:val="000000"/>
          <w:kern w:val="0"/>
          <w:sz w:val="24"/>
        </w:rPr>
        <w:t>9</w:t>
      </w:r>
      <w:r>
        <w:rPr>
          <w:rFonts w:hint="eastAsia" w:ascii="宋体" w:hAnsi="宋体"/>
          <w:color w:val="000000"/>
          <w:kern w:val="0"/>
          <w:sz w:val="24"/>
        </w:rPr>
        <w:t>月</w:t>
      </w:r>
      <w:r>
        <w:rPr>
          <w:rFonts w:ascii="宋体" w:hAnsi="宋体"/>
          <w:color w:val="000000"/>
          <w:kern w:val="0"/>
          <w:sz w:val="24"/>
        </w:rPr>
        <w:t>20</w:t>
      </w:r>
      <w:r>
        <w:rPr>
          <w:rFonts w:hint="eastAsia" w:ascii="宋体" w:hAnsi="宋体"/>
          <w:color w:val="000000"/>
          <w:kern w:val="0"/>
          <w:sz w:val="24"/>
        </w:rPr>
        <w:t>日中国证监会证监许可【201</w:t>
      </w:r>
      <w:r>
        <w:rPr>
          <w:rFonts w:ascii="宋体" w:hAnsi="宋体"/>
          <w:color w:val="000000"/>
          <w:kern w:val="0"/>
          <w:sz w:val="24"/>
        </w:rPr>
        <w:t>6</w:t>
      </w:r>
      <w:r>
        <w:rPr>
          <w:rFonts w:hint="eastAsia" w:ascii="宋体" w:hAnsi="宋体"/>
          <w:color w:val="000000"/>
          <w:kern w:val="0"/>
          <w:sz w:val="24"/>
        </w:rPr>
        <w:t>】</w:t>
      </w:r>
      <w:r>
        <w:rPr>
          <w:rFonts w:ascii="宋体" w:hAnsi="宋体"/>
          <w:color w:val="000000"/>
          <w:kern w:val="0"/>
          <w:sz w:val="24"/>
        </w:rPr>
        <w:t>2153</w:t>
      </w:r>
      <w:r>
        <w:rPr>
          <w:rFonts w:hint="eastAsia" w:ascii="宋体" w:hAnsi="宋体"/>
          <w:color w:val="000000"/>
          <w:kern w:val="0"/>
          <w:sz w:val="24"/>
        </w:rPr>
        <w:t>号文准予募集。 于</w:t>
      </w:r>
      <w:r>
        <w:rPr>
          <w:rFonts w:ascii="宋体" w:hAnsi="宋体"/>
          <w:color w:val="000000"/>
          <w:kern w:val="0"/>
          <w:sz w:val="24"/>
        </w:rPr>
        <w:t>201</w:t>
      </w:r>
      <w:r>
        <w:rPr>
          <w:rFonts w:hint="eastAsia" w:ascii="宋体" w:hAnsi="宋体"/>
          <w:color w:val="000000"/>
          <w:kern w:val="0"/>
          <w:sz w:val="24"/>
        </w:rPr>
        <w:t>6年</w:t>
      </w:r>
      <w:r>
        <w:rPr>
          <w:rFonts w:ascii="宋体" w:hAnsi="宋体"/>
          <w:color w:val="000000"/>
          <w:kern w:val="0"/>
          <w:sz w:val="24"/>
        </w:rPr>
        <w:t>1</w:t>
      </w:r>
      <w:r>
        <w:rPr>
          <w:rFonts w:hint="eastAsia" w:ascii="宋体" w:hAnsi="宋体"/>
          <w:color w:val="000000"/>
          <w:kern w:val="0"/>
          <w:sz w:val="24"/>
        </w:rPr>
        <w:t>2月1日起通过各销售机构向社会公开募集，截至</w:t>
      </w:r>
      <w:r>
        <w:rPr>
          <w:rFonts w:ascii="宋体" w:hAnsi="宋体"/>
          <w:color w:val="000000"/>
          <w:kern w:val="0"/>
          <w:sz w:val="24"/>
        </w:rPr>
        <w:t>201</w:t>
      </w:r>
      <w:r>
        <w:rPr>
          <w:rFonts w:hint="eastAsia" w:ascii="宋体" w:hAnsi="宋体"/>
          <w:color w:val="000000"/>
          <w:kern w:val="0"/>
          <w:sz w:val="24"/>
        </w:rPr>
        <w:t>6年</w:t>
      </w:r>
      <w:r>
        <w:rPr>
          <w:rFonts w:ascii="宋体" w:hAnsi="宋体"/>
          <w:color w:val="000000"/>
          <w:kern w:val="0"/>
          <w:sz w:val="24"/>
        </w:rPr>
        <w:t>1</w:t>
      </w:r>
      <w:r>
        <w:rPr>
          <w:rFonts w:hint="eastAsia" w:ascii="宋体" w:hAnsi="宋体"/>
          <w:color w:val="000000"/>
          <w:kern w:val="0"/>
          <w:sz w:val="24"/>
        </w:rPr>
        <w:t>2月21日，基金募集工作已顺利结束。</w:t>
      </w:r>
    </w:p>
    <w:p>
      <w:pPr>
        <w:spacing w:line="360" w:lineRule="auto"/>
        <w:ind w:firstLine="480" w:firstLineChars="200"/>
        <w:rPr>
          <w:rFonts w:ascii="宋体" w:hAnsi="宋体"/>
          <w:color w:val="000000"/>
          <w:kern w:val="0"/>
          <w:sz w:val="24"/>
        </w:rPr>
      </w:pPr>
    </w:p>
    <w:p>
      <w:pPr>
        <w:spacing w:line="360" w:lineRule="auto"/>
        <w:ind w:firstLine="424" w:firstLineChars="177"/>
        <w:rPr>
          <w:rFonts w:ascii="宋体" w:hAnsi="宋体"/>
          <w:color w:val="000000"/>
          <w:kern w:val="0"/>
          <w:sz w:val="24"/>
        </w:rPr>
      </w:pPr>
    </w:p>
    <w:p>
      <w:pPr>
        <w:pStyle w:val="2"/>
        <w:spacing w:line="360" w:lineRule="auto"/>
        <w:jc w:val="center"/>
        <w:rPr>
          <w:rFonts w:ascii="宋体" w:hAnsi="宋体"/>
          <w:color w:val="000000"/>
          <w:kern w:val="0"/>
          <w:sz w:val="24"/>
          <w:szCs w:val="24"/>
        </w:rPr>
      </w:pPr>
      <w:bookmarkStart w:id="37" w:name="_Toc256666916"/>
      <w:bookmarkStart w:id="38" w:name="_Toc194043642"/>
      <w:bookmarkStart w:id="39" w:name="_Toc221612260"/>
      <w:bookmarkStart w:id="40" w:name="_Toc221612040"/>
      <w:bookmarkStart w:id="41" w:name="_Toc256666796"/>
      <w:r>
        <w:br w:type="page"/>
      </w:r>
      <w:bookmarkStart w:id="42" w:name="_Toc406"/>
      <w:bookmarkStart w:id="43" w:name="_Toc15792"/>
      <w:bookmarkStart w:id="44" w:name="_Toc482624796"/>
      <w:r>
        <w:rPr>
          <w:rFonts w:hint="eastAsia" w:ascii="宋体" w:hAnsi="宋体"/>
          <w:color w:val="000000"/>
          <w:kern w:val="0"/>
          <w:sz w:val="24"/>
          <w:szCs w:val="24"/>
        </w:rPr>
        <w:t>第七部分</w:t>
      </w:r>
      <w:r>
        <w:rPr>
          <w:rFonts w:ascii="宋体" w:hAnsi="宋体"/>
          <w:color w:val="000000"/>
          <w:kern w:val="0"/>
          <w:sz w:val="24"/>
          <w:szCs w:val="24"/>
        </w:rPr>
        <w:t xml:space="preserve">  </w:t>
      </w:r>
      <w:r>
        <w:rPr>
          <w:rFonts w:hint="eastAsia" w:ascii="宋体" w:hAnsi="宋体"/>
          <w:color w:val="000000"/>
          <w:kern w:val="0"/>
          <w:sz w:val="24"/>
          <w:szCs w:val="24"/>
        </w:rPr>
        <w:t>基金合同的生效</w:t>
      </w:r>
      <w:bookmarkEnd w:id="37"/>
      <w:bookmarkEnd w:id="38"/>
      <w:bookmarkEnd w:id="39"/>
      <w:bookmarkEnd w:id="40"/>
      <w:bookmarkEnd w:id="41"/>
      <w:bookmarkEnd w:id="42"/>
      <w:bookmarkEnd w:id="43"/>
      <w:bookmarkEnd w:id="44"/>
    </w:p>
    <w:p>
      <w:pPr>
        <w:spacing w:line="360" w:lineRule="auto"/>
        <w:ind w:firstLine="480" w:firstLineChars="200"/>
        <w:rPr>
          <w:rFonts w:ascii="宋体" w:hAnsi="宋体"/>
          <w:color w:val="000000"/>
          <w:kern w:val="0"/>
          <w:sz w:val="24"/>
        </w:rPr>
      </w:pPr>
      <w:bookmarkStart w:id="45" w:name="_Toc15118260"/>
      <w:bookmarkStart w:id="46" w:name="_Toc79392603"/>
      <w:bookmarkStart w:id="47" w:name="_Toc88969251"/>
      <w:bookmarkStart w:id="48" w:name="_Toc57530272"/>
      <w:r>
        <w:rPr>
          <w:rFonts w:hint="eastAsia" w:ascii="宋体" w:hAnsi="宋体"/>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法律法规另有规定时，从其规定。</w:t>
      </w:r>
    </w:p>
    <w:bookmarkEnd w:id="45"/>
    <w:bookmarkEnd w:id="46"/>
    <w:bookmarkEnd w:id="47"/>
    <w:bookmarkEnd w:id="48"/>
    <w:p>
      <w:pPr>
        <w:spacing w:line="360" w:lineRule="auto"/>
        <w:ind w:firstLine="420" w:firstLineChars="200"/>
        <w:rPr>
          <w:kern w:val="0"/>
        </w:rPr>
      </w:pPr>
      <w:bookmarkStart w:id="49" w:name="_Hlt88901063"/>
      <w:bookmarkEnd w:id="49"/>
      <w:bookmarkStart w:id="50" w:name="_Hlt88829107"/>
      <w:bookmarkEnd w:id="50"/>
      <w:bookmarkStart w:id="51" w:name="_Hlt88821597"/>
      <w:bookmarkEnd w:id="51"/>
      <w:bookmarkStart w:id="52" w:name="_Toc240112314"/>
      <w:bookmarkStart w:id="53" w:name="_Toc256666797"/>
      <w:bookmarkStart w:id="54" w:name="_Toc256666917"/>
    </w:p>
    <w:bookmarkEnd w:id="52"/>
    <w:p>
      <w:pPr>
        <w:pStyle w:val="2"/>
        <w:spacing w:before="120" w:beforeLines="50" w:after="120" w:afterLines="50" w:line="360" w:lineRule="auto"/>
        <w:ind w:firstLine="420"/>
        <w:rPr>
          <w:rFonts w:ascii="宋体" w:hAnsi="宋体"/>
          <w:color w:val="000000"/>
          <w:kern w:val="0"/>
          <w:sz w:val="24"/>
          <w:szCs w:val="24"/>
        </w:rPr>
        <w:sectPr>
          <w:pgSz w:w="12240" w:h="15840"/>
          <w:pgMar w:top="1440" w:right="1800" w:bottom="1440" w:left="1800" w:header="720" w:footer="720" w:gutter="0"/>
          <w:cols w:space="720" w:num="1"/>
          <w:docGrid w:linePitch="286" w:charSpace="0"/>
        </w:sectPr>
      </w:pPr>
    </w:p>
    <w:p>
      <w:pPr>
        <w:pStyle w:val="2"/>
        <w:spacing w:line="360" w:lineRule="auto"/>
        <w:jc w:val="center"/>
        <w:rPr>
          <w:rFonts w:ascii="宋体" w:hAnsi="宋体"/>
          <w:color w:val="000000"/>
          <w:kern w:val="0"/>
          <w:sz w:val="24"/>
          <w:szCs w:val="24"/>
        </w:rPr>
      </w:pPr>
      <w:bookmarkStart w:id="55" w:name="_Toc8447"/>
      <w:bookmarkStart w:id="56" w:name="_Toc7369"/>
      <w:bookmarkStart w:id="57" w:name="_Toc482624797"/>
      <w:r>
        <w:rPr>
          <w:rFonts w:hint="eastAsia" w:ascii="宋体" w:hAnsi="宋体"/>
          <w:color w:val="000000"/>
          <w:kern w:val="0"/>
          <w:sz w:val="24"/>
          <w:szCs w:val="24"/>
        </w:rPr>
        <w:t>第八部分  基金份额的申购与赎回</w:t>
      </w:r>
      <w:bookmarkEnd w:id="53"/>
      <w:bookmarkEnd w:id="54"/>
      <w:bookmarkEnd w:id="55"/>
      <w:bookmarkEnd w:id="56"/>
      <w:bookmarkEnd w:id="57"/>
    </w:p>
    <w:p>
      <w:pPr>
        <w:spacing w:line="360" w:lineRule="auto"/>
        <w:ind w:firstLine="480" w:firstLineChars="200"/>
        <w:rPr>
          <w:rFonts w:ascii="宋体" w:hAnsi="宋体"/>
          <w:color w:val="000000"/>
          <w:kern w:val="0"/>
          <w:sz w:val="24"/>
        </w:rPr>
      </w:pPr>
      <w:bookmarkStart w:id="58" w:name="_Toc88969257"/>
      <w:r>
        <w:rPr>
          <w:rFonts w:ascii="宋体" w:hAnsi="宋体"/>
          <w:color w:val="000000"/>
          <w:kern w:val="0"/>
          <w:sz w:val="24"/>
        </w:rPr>
        <w:t>（</w:t>
      </w:r>
      <w:r>
        <w:rPr>
          <w:rFonts w:hint="eastAsia" w:ascii="宋体" w:hAnsi="宋体"/>
          <w:color w:val="000000"/>
          <w:kern w:val="0"/>
          <w:sz w:val="24"/>
        </w:rPr>
        <w:t>一</w:t>
      </w:r>
      <w:r>
        <w:rPr>
          <w:rFonts w:ascii="宋体" w:hAnsi="宋体"/>
          <w:color w:val="000000"/>
          <w:kern w:val="0"/>
          <w:sz w:val="24"/>
        </w:rPr>
        <w:t xml:space="preserve">） </w:t>
      </w:r>
      <w:r>
        <w:rPr>
          <w:rFonts w:hint="eastAsia" w:ascii="宋体" w:hAnsi="宋体"/>
          <w:color w:val="000000"/>
          <w:kern w:val="0"/>
          <w:sz w:val="24"/>
        </w:rPr>
        <w:t>申购与赎回场所</w:t>
      </w:r>
    </w:p>
    <w:p>
      <w:pPr>
        <w:spacing w:line="360" w:lineRule="auto"/>
        <w:ind w:firstLine="480" w:firstLineChars="200"/>
        <w:rPr>
          <w:bCs/>
          <w:sz w:val="24"/>
        </w:rPr>
      </w:pPr>
      <w:r>
        <w:rPr>
          <w:rFonts w:hint="eastAsia" w:ascii="宋体" w:hAnsi="宋体"/>
          <w:color w:val="000000"/>
          <w:kern w:val="0"/>
          <w:sz w:val="24"/>
        </w:rPr>
        <w:t>本基金的申购与赎回将通过销售机构进行。具体的销售网点将由基金管理人在相关公告中列明。基金管理人可根据情况变更或增减销售机构，并予以公告。</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若基金管理人或其指定的销售机构开通电话、传真或网上等交易方式，投资人可以通过上述方式进行申购与赎回，具体办法由基金管理人另行公告。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（二）申购与赎回的开放日及时间</w:t>
      </w:r>
    </w:p>
    <w:p>
      <w:pPr>
        <w:spacing w:line="360" w:lineRule="auto"/>
        <w:ind w:firstLine="480" w:firstLineChars="200"/>
        <w:rPr>
          <w:rFonts w:ascii="宋体" w:hAnsi="宋体"/>
          <w:color w:val="000000"/>
          <w:kern w:val="0"/>
          <w:sz w:val="24"/>
        </w:rPr>
      </w:pPr>
      <w:r>
        <w:rPr>
          <w:rFonts w:ascii="宋体" w:hAnsi="宋体"/>
          <w:color w:val="000000"/>
          <w:kern w:val="0"/>
          <w:sz w:val="24"/>
        </w:rPr>
        <w:t>1、</w:t>
      </w:r>
      <w:r>
        <w:rPr>
          <w:rFonts w:hint="eastAsia" w:ascii="宋体" w:hAnsi="宋体"/>
          <w:color w:val="000000"/>
          <w:kern w:val="0"/>
          <w:sz w:val="24"/>
        </w:rPr>
        <w:t>开放日及开放时间</w:t>
      </w:r>
    </w:p>
    <w:p>
      <w:pPr>
        <w:spacing w:line="360" w:lineRule="auto"/>
        <w:ind w:firstLine="480" w:firstLineChars="20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hint="eastAsia" w:ascii="宋体" w:hAnsi="宋体"/>
          <w:bCs/>
          <w:sz w:val="24"/>
        </w:rPr>
        <w:t>。</w:t>
      </w:r>
      <w:r>
        <w:rPr>
          <w:rFonts w:hint="eastAsia" w:ascii="宋体" w:hAnsi="宋体"/>
          <w:color w:val="000000"/>
          <w:kern w:val="0"/>
          <w:sz w:val="24"/>
        </w:rPr>
        <w:t>但基金管理人根据法律法规、中国证监会的要求或基金合同的规定公告暂停申购、赎回时除外。具体业务办理时间以销售机构公布的时间为准。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hint="eastAsia" w:ascii="宋体" w:hAnsi="宋体"/>
          <w:color w:val="000000"/>
          <w:kern w:val="0"/>
          <w:sz w:val="24"/>
        </w:rPr>
        <w:t>公告。</w:t>
      </w:r>
    </w:p>
    <w:p>
      <w:pPr>
        <w:spacing w:line="360" w:lineRule="auto"/>
        <w:ind w:firstLine="480" w:firstLineChars="200"/>
        <w:rPr>
          <w:rFonts w:ascii="宋体" w:hAnsi="宋体"/>
          <w:color w:val="000000"/>
          <w:kern w:val="0"/>
          <w:sz w:val="24"/>
        </w:rPr>
      </w:pPr>
      <w:r>
        <w:rPr>
          <w:rFonts w:ascii="宋体" w:hAnsi="宋体"/>
          <w:color w:val="000000"/>
          <w:kern w:val="0"/>
          <w:sz w:val="24"/>
        </w:rPr>
        <w:t>2、</w:t>
      </w:r>
      <w:r>
        <w:rPr>
          <w:rFonts w:hint="eastAsia" w:ascii="宋体" w:hAnsi="宋体"/>
          <w:color w:val="000000"/>
          <w:kern w:val="0"/>
          <w:sz w:val="24"/>
        </w:rPr>
        <w:t>申购、赎回开始日及业务办理时间</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本基金已于2017年1月5日开始办理申购、赎回业务。</w:t>
      </w:r>
    </w:p>
    <w:p>
      <w:pPr>
        <w:spacing w:line="360" w:lineRule="auto"/>
        <w:ind w:firstLine="480" w:firstLineChars="20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hint="eastAsia" w:ascii="宋体" w:hAnsi="宋体"/>
          <w:color w:val="000000"/>
          <w:kern w:val="0"/>
          <w:sz w:val="24"/>
        </w:rPr>
        <w:t>人</w:t>
      </w:r>
      <w:r>
        <w:rPr>
          <w:rFonts w:ascii="宋体" w:hAnsi="宋体"/>
          <w:color w:val="000000"/>
          <w:kern w:val="0"/>
          <w:sz w:val="24"/>
        </w:rPr>
        <w:t>在基金合同约定之外的日期和时间提出申购、赎回或转换申请</w:t>
      </w:r>
      <w:r>
        <w:rPr>
          <w:rFonts w:hint="eastAsia" w:ascii="宋体" w:hAnsi="宋体"/>
          <w:color w:val="000000"/>
          <w:kern w:val="0"/>
          <w:sz w:val="24"/>
        </w:rPr>
        <w:t>且登记机构确认接受</w:t>
      </w:r>
      <w:r>
        <w:rPr>
          <w:rFonts w:ascii="宋体" w:hAnsi="宋体"/>
          <w:color w:val="000000"/>
          <w:kern w:val="0"/>
          <w:sz w:val="24"/>
        </w:rPr>
        <w:t>的，</w:t>
      </w:r>
      <w:r>
        <w:rPr>
          <w:rFonts w:hint="eastAsia" w:ascii="宋体" w:hAnsi="宋体"/>
          <w:color w:val="000000"/>
          <w:kern w:val="0"/>
          <w:sz w:val="24"/>
        </w:rPr>
        <w:t>视为下一开放日的申购、赎回或转换申请</w:t>
      </w:r>
      <w:r>
        <w:rPr>
          <w:rFonts w:ascii="宋体" w:hAnsi="宋体"/>
          <w:color w:val="000000"/>
          <w:kern w:val="0"/>
          <w:sz w:val="24"/>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（三）申购与赎回的原则</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1、“确定价”原则，即申购、赎回价格以</w:t>
      </w:r>
      <w:r>
        <w:rPr>
          <w:rFonts w:ascii="宋体" w:hAnsi="宋体"/>
          <w:color w:val="000000"/>
          <w:kern w:val="0"/>
          <w:sz w:val="24"/>
        </w:rPr>
        <w:t>每份基金份额净值</w:t>
      </w:r>
      <w:r>
        <w:rPr>
          <w:rFonts w:hint="eastAsia" w:ascii="宋体" w:hAnsi="宋体"/>
          <w:color w:val="000000"/>
          <w:kern w:val="0"/>
          <w:sz w:val="24"/>
        </w:rPr>
        <w:t>为1.00元的</w:t>
      </w:r>
      <w:r>
        <w:rPr>
          <w:rFonts w:ascii="宋体" w:hAnsi="宋体"/>
          <w:color w:val="000000"/>
          <w:kern w:val="0"/>
          <w:sz w:val="24"/>
        </w:rPr>
        <w:t>基准进行计算</w:t>
      </w:r>
      <w:r>
        <w:rPr>
          <w:rFonts w:hint="eastAsia" w:ascii="宋体" w:hAnsi="宋体"/>
          <w:color w:val="000000"/>
          <w:kern w:val="0"/>
          <w:sz w:val="24"/>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2、“金额申购、份额赎回”原则，即申购以金额申请，赎回以份额申请；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w:t>
      </w:r>
      <w:r>
        <w:rPr>
          <w:rFonts w:ascii="宋体" w:hAnsi="宋体"/>
          <w:bCs/>
          <w:color w:val="000000"/>
          <w:kern w:val="0"/>
          <w:sz w:val="24"/>
        </w:rPr>
        <w:t>赎回遵循“先进先出”原则，即按照投资人认购、申购的先后次序进行顺序赎回；</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4、当日的申购与赎回申请可以在管理人规定</w:t>
      </w:r>
      <w:r>
        <w:rPr>
          <w:rFonts w:ascii="宋体" w:hAnsi="宋体"/>
          <w:color w:val="000000"/>
          <w:kern w:val="0"/>
          <w:sz w:val="24"/>
        </w:rPr>
        <w:t>的时间</w:t>
      </w:r>
      <w:r>
        <w:rPr>
          <w:rFonts w:hint="eastAsia" w:ascii="宋体" w:hAnsi="宋体"/>
          <w:color w:val="000000"/>
          <w:kern w:val="0"/>
          <w:sz w:val="24"/>
        </w:rPr>
        <w:t>以内</w:t>
      </w:r>
      <w:r>
        <w:rPr>
          <w:rFonts w:ascii="宋体" w:hAnsi="宋体"/>
          <w:color w:val="000000"/>
          <w:kern w:val="0"/>
          <w:sz w:val="24"/>
        </w:rPr>
        <w:t>撤销</w:t>
      </w:r>
      <w:r>
        <w:rPr>
          <w:rFonts w:hint="eastAsia" w:ascii="宋体" w:hAnsi="宋体"/>
          <w:color w:val="000000"/>
          <w:kern w:val="0"/>
          <w:sz w:val="24"/>
        </w:rPr>
        <w:t>；</w:t>
      </w:r>
    </w:p>
    <w:p>
      <w:pPr>
        <w:spacing w:line="360" w:lineRule="auto"/>
        <w:ind w:firstLine="480" w:firstLineChars="200"/>
        <w:rPr>
          <w:rFonts w:ascii="宋体" w:hAnsi="宋体"/>
          <w:color w:val="000000"/>
          <w:kern w:val="0"/>
          <w:sz w:val="24"/>
        </w:rPr>
      </w:pPr>
      <w:r>
        <w:rPr>
          <w:rFonts w:ascii="宋体" w:hAnsi="宋体"/>
          <w:color w:val="000000"/>
          <w:kern w:val="0"/>
          <w:sz w:val="24"/>
        </w:rPr>
        <w:t>5</w:t>
      </w:r>
      <w:r>
        <w:rPr>
          <w:rFonts w:hint="eastAsia" w:ascii="宋体" w:hAnsi="宋体"/>
          <w:color w:val="000000"/>
          <w:kern w:val="0"/>
          <w:sz w:val="24"/>
        </w:rPr>
        <w:t>、</w:t>
      </w:r>
      <w:r>
        <w:rPr>
          <w:rFonts w:ascii="宋体" w:hAnsi="宋体"/>
          <w:color w:val="000000"/>
          <w:kern w:val="0"/>
          <w:sz w:val="24"/>
        </w:rPr>
        <w:t>基金管理人有权决定本基金的总规模限额</w:t>
      </w:r>
      <w:r>
        <w:rPr>
          <w:rFonts w:hint="eastAsia" w:ascii="宋体" w:hAnsi="宋体"/>
          <w:color w:val="000000"/>
          <w:kern w:val="0"/>
          <w:sz w:val="24"/>
        </w:rPr>
        <w:t>，</w:t>
      </w:r>
      <w:r>
        <w:rPr>
          <w:rFonts w:ascii="宋体" w:hAnsi="宋体"/>
          <w:color w:val="000000"/>
          <w:kern w:val="0"/>
          <w:sz w:val="24"/>
        </w:rPr>
        <w:t>但应最迟在新的限额实施前依照《</w:t>
      </w:r>
      <w:r>
        <w:rPr>
          <w:rFonts w:hint="eastAsia" w:ascii="宋体" w:hAnsi="宋体"/>
          <w:color w:val="000000"/>
          <w:kern w:val="0"/>
          <w:sz w:val="24"/>
        </w:rPr>
        <w:t>信息</w:t>
      </w:r>
      <w:r>
        <w:rPr>
          <w:rFonts w:ascii="宋体" w:hAnsi="宋体"/>
          <w:color w:val="000000"/>
          <w:kern w:val="0"/>
          <w:sz w:val="24"/>
        </w:rPr>
        <w:t>披露办法》</w:t>
      </w:r>
      <w:r>
        <w:rPr>
          <w:rFonts w:hint="eastAsia" w:ascii="宋体" w:hAnsi="宋体"/>
          <w:color w:val="000000"/>
          <w:kern w:val="0"/>
          <w:sz w:val="24"/>
        </w:rPr>
        <w:t>的</w:t>
      </w:r>
      <w:r>
        <w:rPr>
          <w:rFonts w:ascii="宋体" w:hAnsi="宋体"/>
          <w:color w:val="000000"/>
          <w:kern w:val="0"/>
          <w:sz w:val="24"/>
        </w:rPr>
        <w:t>有关规定在制定</w:t>
      </w:r>
      <w:r>
        <w:rPr>
          <w:rFonts w:hint="eastAsia" w:ascii="宋体" w:hAnsi="宋体"/>
          <w:color w:val="000000"/>
          <w:kern w:val="0"/>
          <w:sz w:val="24"/>
        </w:rPr>
        <w:t>媒介</w:t>
      </w:r>
      <w:r>
        <w:rPr>
          <w:rFonts w:ascii="宋体" w:hAnsi="宋体"/>
          <w:color w:val="000000"/>
          <w:kern w:val="0"/>
          <w:sz w:val="24"/>
        </w:rPr>
        <w:t>上公告</w:t>
      </w:r>
      <w:r>
        <w:rPr>
          <w:rFonts w:hint="eastAsia" w:ascii="宋体" w:hAnsi="宋体"/>
          <w:color w:val="000000"/>
          <w:kern w:val="0"/>
          <w:sz w:val="24"/>
        </w:rPr>
        <w:t>。</w:t>
      </w:r>
    </w:p>
    <w:p>
      <w:pPr>
        <w:spacing w:line="360" w:lineRule="auto"/>
        <w:ind w:firstLine="480" w:firstLineChars="200"/>
        <w:rPr>
          <w:rFonts w:ascii="宋体" w:hAnsi="宋体"/>
          <w:color w:val="000000"/>
          <w:kern w:val="0"/>
          <w:sz w:val="24"/>
        </w:rPr>
      </w:pPr>
      <w:r>
        <w:rPr>
          <w:bCs/>
          <w:sz w:val="24"/>
        </w:rPr>
        <w:t>基金管理人可在法律法规允许的情况下，对上述原则进行调整。基金管理人必须在新规则开始实施前依照《信息披露办法》的有关规定在指定媒介上公告。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（四）申购与赎回的程序</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1、申购和赎回的申请方式</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投资人必须根据销售机构规定的程序，在开放日的具体业务办理时间内提出申购或赎回的申请。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2、申购和赎回的款项支付</w:t>
      </w:r>
    </w:p>
    <w:p>
      <w:pPr>
        <w:spacing w:line="360" w:lineRule="auto"/>
        <w:ind w:firstLine="480" w:firstLineChars="200"/>
        <w:rPr>
          <w:rFonts w:ascii="宋体" w:hAnsi="宋体"/>
          <w:color w:val="000000"/>
          <w:kern w:val="0"/>
          <w:sz w:val="24"/>
          <w:lang w:val="zh-CN"/>
        </w:rPr>
      </w:pPr>
      <w:r>
        <w:rPr>
          <w:rFonts w:hint="eastAsia" w:ascii="宋体" w:hAnsi="宋体"/>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hint="eastAsia" w:ascii="宋体" w:hAnsi="宋体"/>
          <w:color w:val="000000"/>
          <w:kern w:val="0"/>
          <w:sz w:val="24"/>
          <w:lang w:val="zh-CN"/>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hint="eastAsia" w:ascii="宋体" w:hAnsi="宋体"/>
          <w:color w:val="000000"/>
          <w:kern w:val="0"/>
          <w:sz w:val="24"/>
        </w:rPr>
        <w:t>日(包括该日)内支付赎回款项。遇证券交易所或交易市场数据传输延迟、通讯系统故障、银行数据交换系统故障或其它非基金管理人及基金托管人所能控制的因素影响业务处理流程，则赎回款在该等故障消除后及时划往基金份额持有人银行账户。在发生巨额赎回时，款项的支付办法参照基金合同有关条款处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3、申购和赎回申请的确认</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销售机构对申购、赎回申请的受理并不代表申请一定成功，而仅代表销售机构确实接收到申请。申购、赎回的确认以登记机构的确认结果为准。对于申请的确认情况，投资者应及时查询并</w:t>
      </w:r>
      <w:r>
        <w:rPr>
          <w:rFonts w:ascii="宋体" w:hAnsi="宋体"/>
          <w:color w:val="000000"/>
          <w:kern w:val="0"/>
          <w:sz w:val="24"/>
        </w:rPr>
        <w:t>妥善行使合法权利</w:t>
      </w:r>
      <w:r>
        <w:rPr>
          <w:rFonts w:hint="eastAsia" w:ascii="宋体" w:hAnsi="宋体"/>
          <w:color w:val="000000"/>
          <w:kern w:val="0"/>
          <w:sz w:val="24"/>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hint="eastAsia" w:ascii="宋体" w:hAnsi="宋体"/>
          <w:color w:val="000000"/>
          <w:kern w:val="0"/>
          <w:sz w:val="24"/>
        </w:rPr>
        <w:t>《信息</w:t>
      </w:r>
      <w:r>
        <w:rPr>
          <w:rFonts w:ascii="宋体" w:hAnsi="宋体"/>
          <w:color w:val="000000"/>
          <w:kern w:val="0"/>
          <w:sz w:val="24"/>
        </w:rPr>
        <w:t>披露办法》</w:t>
      </w:r>
      <w:r>
        <w:rPr>
          <w:rFonts w:hint="eastAsia" w:ascii="宋体" w:hAnsi="宋体"/>
          <w:color w:val="000000"/>
          <w:kern w:val="0"/>
          <w:sz w:val="24"/>
        </w:rPr>
        <w:t>的</w:t>
      </w:r>
      <w:r>
        <w:rPr>
          <w:rFonts w:ascii="宋体" w:hAnsi="宋体"/>
          <w:color w:val="000000"/>
          <w:kern w:val="0"/>
          <w:sz w:val="24"/>
        </w:rPr>
        <w:t>有关规定在制定媒介上公告并报中国证监会备案</w:t>
      </w:r>
      <w:r>
        <w:rPr>
          <w:rFonts w:hint="eastAsia" w:ascii="宋体" w:hAnsi="宋体"/>
          <w:color w:val="000000"/>
          <w:kern w:val="0"/>
          <w:sz w:val="24"/>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（五）申购和赎回的数额限制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1、投资者通过直销机构以外的其他销售机构申购本基金基金份额的，单个基金账户的首次申购A类基金份额最低申购金额为1.00元人民币，首次申购B类基金份额最低金额为5</w:t>
      </w:r>
      <w:r>
        <w:rPr>
          <w:rFonts w:ascii="宋体" w:hAnsi="宋体"/>
          <w:color w:val="000000"/>
          <w:kern w:val="0"/>
          <w:sz w:val="24"/>
        </w:rPr>
        <w:t>,</w:t>
      </w:r>
      <w:r>
        <w:rPr>
          <w:rFonts w:hint="eastAsia" w:ascii="宋体" w:hAnsi="宋体"/>
          <w:color w:val="000000"/>
          <w:kern w:val="0"/>
          <w:sz w:val="24"/>
        </w:rPr>
        <w:t>000,000.00元</w:t>
      </w:r>
      <w:r>
        <w:rPr>
          <w:rFonts w:ascii="宋体" w:hAnsi="宋体"/>
          <w:color w:val="000000"/>
          <w:kern w:val="0"/>
          <w:sz w:val="24"/>
        </w:rPr>
        <w:t>人民币</w:t>
      </w:r>
      <w:r>
        <w:rPr>
          <w:rFonts w:hint="eastAsia" w:ascii="宋体" w:hAnsi="宋体"/>
          <w:color w:val="000000"/>
          <w:kern w:val="0"/>
          <w:sz w:val="24"/>
        </w:rPr>
        <w:t>，追加申购A类基金份额/B类基金份额单笔最低金额为1.00元人民币，具体申购限额以销售机构的规定为准。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hint="eastAsia" w:ascii="宋体" w:hAnsi="宋体"/>
          <w:color w:val="000000"/>
          <w:kern w:val="0"/>
          <w:sz w:val="24"/>
        </w:rPr>
        <w:t>000,000.00元</w:t>
      </w:r>
      <w:r>
        <w:rPr>
          <w:rFonts w:ascii="宋体" w:hAnsi="宋体"/>
          <w:color w:val="000000"/>
          <w:kern w:val="0"/>
          <w:sz w:val="24"/>
        </w:rPr>
        <w:t>人民币</w:t>
      </w:r>
      <w:r>
        <w:rPr>
          <w:rFonts w:hint="eastAsia" w:ascii="宋体" w:hAnsi="宋体"/>
          <w:color w:val="000000"/>
          <w:kern w:val="0"/>
          <w:sz w:val="24"/>
        </w:rPr>
        <w:t>，追加申购A类基金份额/B类基金份额单笔最低金额为1.00元</w:t>
      </w:r>
      <w:r>
        <w:rPr>
          <w:rFonts w:ascii="宋体" w:hAnsi="宋体"/>
          <w:color w:val="000000"/>
          <w:kern w:val="0"/>
          <w:sz w:val="24"/>
        </w:rPr>
        <w:t>人民币</w:t>
      </w:r>
      <w:r>
        <w:rPr>
          <w:rFonts w:hint="eastAsia" w:ascii="宋体" w:hAnsi="宋体"/>
          <w:color w:val="000000"/>
          <w:kern w:val="0"/>
          <w:sz w:val="24"/>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hint="eastAsia" w:ascii="宋体" w:hAnsi="宋体"/>
          <w:color w:val="000000"/>
          <w:kern w:val="0"/>
          <w:sz w:val="24"/>
        </w:rPr>
        <w:t>000,000.00元</w:t>
      </w:r>
      <w:r>
        <w:rPr>
          <w:rFonts w:ascii="宋体" w:hAnsi="宋体"/>
          <w:color w:val="000000"/>
          <w:kern w:val="0"/>
          <w:sz w:val="24"/>
        </w:rPr>
        <w:t>人民币</w:t>
      </w:r>
      <w:r>
        <w:rPr>
          <w:rFonts w:hint="eastAsia" w:ascii="宋体" w:hAnsi="宋体"/>
          <w:color w:val="000000"/>
          <w:kern w:val="0"/>
          <w:sz w:val="24"/>
        </w:rPr>
        <w:t>，追加申购A类基金份额/B类基金份额单笔最低金额为1.00元</w:t>
      </w:r>
      <w:r>
        <w:rPr>
          <w:rFonts w:ascii="宋体" w:hAnsi="宋体"/>
          <w:color w:val="000000"/>
          <w:kern w:val="0"/>
          <w:sz w:val="24"/>
        </w:rPr>
        <w:t>人民币</w:t>
      </w:r>
      <w:r>
        <w:rPr>
          <w:rFonts w:hint="eastAsia" w:ascii="宋体" w:hAnsi="宋体"/>
          <w:color w:val="000000"/>
          <w:kern w:val="0"/>
          <w:sz w:val="24"/>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本基金不对单笔最低赎回份额进行限制，投资人可申请将其持有的部分或全部基金份额赎回。若某笔赎回将导致投资人在销售机构托管的本基金基金份额余额不足1份时，该笔赎回业务应包括账户内全部基金份额，否则，基金管理人有权将剩余部分的基金份额强制赎回。</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3、基金管理人对单个投资人累计持有的基金份额暂不设上限限制。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4、基金管理人可以依照相关法律法规以及基金合同的约定，在特定市场条件下暂停或者拒绝接受一定金额以上的资金申购，具体以基金管理人的公告为准。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并报中国证监会备案。</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（六）申购</w:t>
      </w:r>
      <w:r>
        <w:rPr>
          <w:rFonts w:ascii="宋体" w:hAnsi="宋体"/>
          <w:color w:val="000000"/>
          <w:kern w:val="0"/>
          <w:sz w:val="24"/>
        </w:rPr>
        <w:t>份额与赎回金额的计算方式</w:t>
      </w:r>
    </w:p>
    <w:p>
      <w:pPr>
        <w:numPr>
          <w:ilvl w:val="0"/>
          <w:numId w:val="5"/>
        </w:numPr>
        <w:spacing w:line="360" w:lineRule="auto"/>
        <w:ind w:left="0" w:firstLine="426"/>
        <w:rPr>
          <w:rFonts w:ascii="宋体" w:hAnsi="宋体"/>
          <w:sz w:val="24"/>
        </w:rPr>
      </w:pPr>
      <w:r>
        <w:rPr>
          <w:rFonts w:hint="eastAsia" w:ascii="宋体" w:hAnsi="宋体"/>
          <w:sz w:val="24"/>
        </w:rPr>
        <w:t>本基金不收取</w:t>
      </w:r>
      <w:r>
        <w:rPr>
          <w:rFonts w:ascii="宋体" w:hAnsi="宋体"/>
          <w:sz w:val="24"/>
        </w:rPr>
        <w:t>申购费用和赎回费用，但基金合同约定的征收强制赎回费情形除外。</w:t>
      </w:r>
    </w:p>
    <w:p>
      <w:pPr>
        <w:numPr>
          <w:ilvl w:val="0"/>
          <w:numId w:val="5"/>
        </w:numPr>
        <w:spacing w:line="360" w:lineRule="auto"/>
        <w:ind w:left="0" w:firstLine="426"/>
        <w:rPr>
          <w:rFonts w:ascii="宋体" w:hAnsi="宋体"/>
          <w:sz w:val="24"/>
        </w:rPr>
      </w:pPr>
      <w:r>
        <w:rPr>
          <w:rFonts w:hint="eastAsia" w:ascii="宋体" w:hAnsi="宋体"/>
          <w:bCs/>
          <w:sz w:val="24"/>
        </w:rPr>
        <w:t>在满足相关流动性风险管理要求的前提下，当本基金持有的现金、国债、中央银行票据、政策性金融债券以及5个交易日内到期的其他金融工具占基金资产净值的比例合计低于5%且偏离度为负时，为确保基金平稳运作，避免诱发系统性风险，基金管理人将对当日单个基金份额持有人申请赎回基金份额超过基金总份额1%以上的赎回申请征收1%的强制赎回费用，并将上述赎回费用全额计入基金财产。</w:t>
      </w:r>
      <w:r>
        <w:rPr>
          <w:rFonts w:hint="eastAsia" w:ascii="宋体" w:hAnsi="宋体"/>
          <w:sz w:val="24"/>
        </w:rPr>
        <w:t>基金管理人与基金托管人协商确认上述做法无益于基金利益最大化的情形除外。</w:t>
      </w:r>
    </w:p>
    <w:p>
      <w:pPr>
        <w:numPr>
          <w:ilvl w:val="0"/>
          <w:numId w:val="5"/>
        </w:numPr>
        <w:spacing w:line="360" w:lineRule="auto"/>
        <w:ind w:left="0" w:firstLine="426"/>
        <w:rPr>
          <w:rFonts w:ascii="宋体" w:hAnsi="宋体"/>
          <w:sz w:val="24"/>
        </w:rPr>
      </w:pPr>
      <w:r>
        <w:rPr>
          <w:rFonts w:hint="eastAsia" w:ascii="宋体" w:hAnsi="宋体"/>
          <w:sz w:val="24"/>
        </w:rPr>
        <w:t>本基金各类</w:t>
      </w:r>
      <w:r>
        <w:rPr>
          <w:rFonts w:ascii="宋体" w:hAnsi="宋体"/>
          <w:sz w:val="24"/>
        </w:rPr>
        <w:t>基金份额的申购、赎回价格为每份基金单位</w:t>
      </w:r>
      <w:r>
        <w:rPr>
          <w:rFonts w:hint="eastAsia" w:ascii="宋体" w:hAnsi="宋体"/>
          <w:sz w:val="24"/>
        </w:rPr>
        <w:t>1.00元</w:t>
      </w:r>
      <w:r>
        <w:rPr>
          <w:rFonts w:ascii="宋体" w:hAnsi="宋体"/>
          <w:sz w:val="24"/>
        </w:rPr>
        <w:t>。</w:t>
      </w:r>
    </w:p>
    <w:p>
      <w:pPr>
        <w:numPr>
          <w:ilvl w:val="0"/>
          <w:numId w:val="5"/>
        </w:numPr>
        <w:spacing w:line="360" w:lineRule="auto"/>
        <w:ind w:left="0" w:firstLine="426"/>
        <w:rPr>
          <w:rFonts w:ascii="宋体" w:hAnsi="宋体"/>
          <w:sz w:val="24"/>
        </w:rPr>
      </w:pPr>
      <w:r>
        <w:rPr>
          <w:rFonts w:hint="eastAsia" w:ascii="宋体" w:hAnsi="宋体"/>
          <w:sz w:val="24"/>
        </w:rPr>
        <w:t>申购份额和赎回份额的计算及余额的处理方式</w:t>
      </w:r>
    </w:p>
    <w:p>
      <w:pPr>
        <w:spacing w:line="360" w:lineRule="auto"/>
        <w:ind w:firstLine="480" w:firstLineChars="200"/>
        <w:rPr>
          <w:rFonts w:ascii="宋体" w:hAnsi="宋体"/>
          <w:sz w:val="24"/>
        </w:rPr>
      </w:pPr>
      <w:r>
        <w:rPr>
          <w:rFonts w:hint="eastAsia" w:ascii="宋体" w:hAnsi="宋体"/>
          <w:sz w:val="24"/>
        </w:rPr>
        <w:t>本基金通过每日计算收益并分配的方式，使基金份额净值保持在1.00元。该基金份额净值是计算基金申购与赎回价格的基础。</w:t>
      </w:r>
    </w:p>
    <w:p>
      <w:pPr>
        <w:pStyle w:val="62"/>
        <w:spacing w:line="360" w:lineRule="auto"/>
        <w:ind w:firstLine="424" w:firstLineChars="177"/>
        <w:rPr>
          <w:rFonts w:hAnsi="宋体" w:cs="Times New Roman"/>
        </w:rPr>
      </w:pPr>
      <w:r>
        <w:rPr>
          <w:rFonts w:hint="eastAsia" w:hAnsi="宋体" w:cs="Times New Roman"/>
        </w:rPr>
        <w:t>（1）</w:t>
      </w:r>
      <w:r>
        <w:rPr>
          <w:rFonts w:hAnsi="宋体" w:cs="Times New Roman"/>
        </w:rPr>
        <w:t>本基金申购份额的计算</w:t>
      </w:r>
    </w:p>
    <w:p>
      <w:pPr>
        <w:pStyle w:val="62"/>
        <w:spacing w:line="360" w:lineRule="auto"/>
        <w:ind w:firstLine="424" w:firstLineChars="177"/>
        <w:rPr>
          <w:rFonts w:hAnsi="宋体" w:cs="Times New Roman"/>
        </w:rPr>
      </w:pPr>
      <w:r>
        <w:rPr>
          <w:rFonts w:hint="eastAsia" w:hAnsi="宋体" w:cs="Times New Roman"/>
        </w:rPr>
        <w:t>采用“金额申购”方式，申购价格为每份基金份额净值1.00元，计算公式如下：</w:t>
      </w:r>
    </w:p>
    <w:p>
      <w:pPr>
        <w:pStyle w:val="62"/>
        <w:spacing w:line="360" w:lineRule="auto"/>
        <w:ind w:firstLine="424" w:firstLineChars="177"/>
        <w:rPr>
          <w:rFonts w:hAnsi="宋体" w:cs="Times New Roman"/>
        </w:rPr>
      </w:pPr>
      <w:r>
        <w:rPr>
          <w:rFonts w:hint="eastAsia" w:hAnsi="宋体" w:cs="Times New Roman"/>
        </w:rPr>
        <w:t>申购份额＝申购金额</w:t>
      </w:r>
      <w:r>
        <w:rPr>
          <w:rFonts w:hAnsi="宋体" w:cs="Times New Roman"/>
        </w:rPr>
        <w:t xml:space="preserve">/1.00 </w:t>
      </w:r>
    </w:p>
    <w:p>
      <w:pPr>
        <w:pStyle w:val="62"/>
        <w:spacing w:line="360" w:lineRule="auto"/>
        <w:ind w:firstLine="424" w:firstLineChars="177"/>
        <w:rPr>
          <w:rFonts w:hAnsi="宋体" w:cs="Times New Roman"/>
        </w:rPr>
      </w:pPr>
      <w:r>
        <w:rPr>
          <w:rFonts w:hint="eastAsia" w:hAnsi="宋体" w:cs="Times New Roman"/>
        </w:rPr>
        <w:t>申购的有效份额按实际确认的申购金额除以1.00元确定，申购份额计算结果保留到小数点后</w:t>
      </w:r>
      <w:r>
        <w:rPr>
          <w:rFonts w:hAnsi="宋体" w:cs="Times New Roman"/>
        </w:rPr>
        <w:t>2</w:t>
      </w:r>
      <w:r>
        <w:rPr>
          <w:rFonts w:hint="eastAsia" w:hAnsi="宋体" w:cs="Times New Roman"/>
        </w:rPr>
        <w:t>位，小数点</w:t>
      </w:r>
      <w:r>
        <w:rPr>
          <w:rFonts w:hAnsi="宋体" w:cs="Times New Roman"/>
        </w:rPr>
        <w:t>2</w:t>
      </w:r>
      <w:r>
        <w:rPr>
          <w:rFonts w:hint="eastAsia" w:hAnsi="宋体" w:cs="Times New Roman"/>
        </w:rPr>
        <w:t>位以后的部分四舍五入，由此产生的收益或</w:t>
      </w:r>
      <w:r>
        <w:rPr>
          <w:rFonts w:hAnsi="宋体" w:cs="Times New Roman"/>
        </w:rPr>
        <w:t>损失</w:t>
      </w:r>
      <w:r>
        <w:rPr>
          <w:rFonts w:hint="eastAsia" w:hAnsi="宋体" w:cs="Times New Roman"/>
        </w:rPr>
        <w:t>由</w:t>
      </w:r>
      <w:r>
        <w:rPr>
          <w:rFonts w:hAnsi="宋体" w:cs="Times New Roman"/>
        </w:rPr>
        <w:t>基金财产承担</w:t>
      </w:r>
      <w:r>
        <w:rPr>
          <w:rFonts w:hint="eastAsia" w:hAnsi="宋体" w:cs="Times New Roman"/>
        </w:rPr>
        <w:t>。</w:t>
      </w:r>
    </w:p>
    <w:p>
      <w:pPr>
        <w:pStyle w:val="62"/>
        <w:spacing w:line="360" w:lineRule="auto"/>
        <w:ind w:firstLine="424" w:firstLineChars="177"/>
        <w:rPr>
          <w:rFonts w:hAnsi="宋体" w:cs="Times New Roman"/>
        </w:rPr>
      </w:pPr>
      <w:r>
        <w:rPr>
          <w:rFonts w:hint="eastAsia" w:hAnsi="宋体" w:cs="Times New Roman"/>
        </w:rPr>
        <w:t>例：投资人投资</w:t>
      </w:r>
      <w:r>
        <w:rPr>
          <w:rFonts w:hAnsi="宋体" w:cs="Times New Roman"/>
        </w:rPr>
        <w:t>100,000.00</w:t>
      </w:r>
      <w:r>
        <w:rPr>
          <w:rFonts w:hint="eastAsia" w:hAnsi="宋体" w:cs="Times New Roman"/>
        </w:rPr>
        <w:t>元申购本基金</w:t>
      </w:r>
      <w:r>
        <w:rPr>
          <w:rFonts w:hint="eastAsia" w:hAnsi="宋体"/>
        </w:rPr>
        <w:t>A类</w:t>
      </w:r>
      <w:r>
        <w:rPr>
          <w:rFonts w:hAnsi="宋体"/>
        </w:rPr>
        <w:t>基金份额</w:t>
      </w:r>
      <w:r>
        <w:rPr>
          <w:rFonts w:hint="eastAsia" w:hAnsi="宋体" w:cs="Times New Roman"/>
        </w:rPr>
        <w:t>，则其可得到的</w:t>
      </w:r>
      <w:r>
        <w:rPr>
          <w:rFonts w:hint="eastAsia" w:hAnsi="宋体"/>
        </w:rPr>
        <w:t>A类</w:t>
      </w:r>
      <w:r>
        <w:rPr>
          <w:rFonts w:hAnsi="宋体"/>
        </w:rPr>
        <w:t>基金份额</w:t>
      </w:r>
      <w:r>
        <w:rPr>
          <w:rFonts w:hint="eastAsia" w:hAnsi="宋体" w:cs="Times New Roman"/>
        </w:rPr>
        <w:t>为：</w:t>
      </w:r>
    </w:p>
    <w:p>
      <w:pPr>
        <w:pStyle w:val="62"/>
        <w:spacing w:line="360" w:lineRule="auto"/>
        <w:ind w:firstLine="424" w:firstLineChars="177"/>
        <w:rPr>
          <w:rFonts w:hAnsi="宋体" w:cs="Times New Roman"/>
        </w:rPr>
      </w:pPr>
      <w:r>
        <w:rPr>
          <w:rFonts w:hint="eastAsia" w:hAnsi="宋体" w:cs="Times New Roman"/>
        </w:rPr>
        <w:t>申购份额＝</w:t>
      </w:r>
      <w:r>
        <w:rPr>
          <w:rFonts w:hAnsi="宋体" w:cs="Times New Roman"/>
        </w:rPr>
        <w:t>100,000.00/1.00=100,000.00.00</w:t>
      </w:r>
      <w:r>
        <w:rPr>
          <w:rFonts w:hint="eastAsia" w:hAnsi="宋体" w:cs="Times New Roman"/>
        </w:rPr>
        <w:t>份</w:t>
      </w:r>
    </w:p>
    <w:p>
      <w:pPr>
        <w:pStyle w:val="62"/>
        <w:spacing w:line="360" w:lineRule="auto"/>
        <w:ind w:firstLine="424" w:firstLineChars="177"/>
        <w:rPr>
          <w:rFonts w:hAnsi="宋体" w:cs="Times New Roman"/>
        </w:rPr>
      </w:pPr>
      <w:r>
        <w:rPr>
          <w:rFonts w:hint="eastAsia" w:hAnsi="宋体" w:cs="Times New Roman"/>
        </w:rPr>
        <w:t>即：投资者投资</w:t>
      </w:r>
      <w:r>
        <w:rPr>
          <w:rFonts w:hAnsi="宋体" w:cs="Times New Roman"/>
        </w:rPr>
        <w:t>100,000.00</w:t>
      </w:r>
      <w:r>
        <w:rPr>
          <w:rFonts w:hint="eastAsia" w:hAnsi="宋体" w:cs="Times New Roman"/>
        </w:rPr>
        <w:t>元申购本基金</w:t>
      </w:r>
      <w:r>
        <w:rPr>
          <w:rFonts w:hint="eastAsia" w:hAnsi="宋体"/>
        </w:rPr>
        <w:t>A类</w:t>
      </w:r>
      <w:r>
        <w:rPr>
          <w:rFonts w:hAnsi="宋体"/>
        </w:rPr>
        <w:t>基金份额</w:t>
      </w:r>
      <w:r>
        <w:rPr>
          <w:rFonts w:hint="eastAsia" w:hAnsi="宋体" w:cs="Times New Roman"/>
        </w:rPr>
        <w:t>，则其可获得</w:t>
      </w:r>
      <w:r>
        <w:rPr>
          <w:rFonts w:hAnsi="宋体" w:cs="Times New Roman"/>
        </w:rPr>
        <w:t>100,000.00</w:t>
      </w:r>
      <w:r>
        <w:rPr>
          <w:rFonts w:hint="eastAsia" w:hAnsi="宋体" w:cs="Times New Roman"/>
        </w:rPr>
        <w:t>份</w:t>
      </w:r>
      <w:r>
        <w:rPr>
          <w:rFonts w:hint="eastAsia" w:hAnsi="宋体"/>
        </w:rPr>
        <w:t>A类</w:t>
      </w:r>
      <w:r>
        <w:rPr>
          <w:rFonts w:hAnsi="宋体"/>
        </w:rPr>
        <w:t>基金份额</w:t>
      </w:r>
      <w:r>
        <w:rPr>
          <w:rFonts w:hint="eastAsia" w:hAnsi="宋体" w:cs="Times New Roman"/>
        </w:rPr>
        <w:t>。</w:t>
      </w:r>
    </w:p>
    <w:p>
      <w:pPr>
        <w:pStyle w:val="62"/>
        <w:spacing w:line="360" w:lineRule="auto"/>
        <w:ind w:firstLine="424" w:firstLineChars="177"/>
        <w:rPr>
          <w:rFonts w:hAnsi="宋体" w:cs="Times New Roman"/>
        </w:rPr>
      </w:pPr>
      <w:r>
        <w:rPr>
          <w:rFonts w:hint="eastAsia" w:hAnsi="宋体" w:cs="Times New Roman"/>
        </w:rPr>
        <w:t>（2）本基金</w:t>
      </w:r>
      <w:r>
        <w:rPr>
          <w:rFonts w:hAnsi="宋体" w:cs="Times New Roman"/>
        </w:rPr>
        <w:t>赎回金额的计算</w:t>
      </w:r>
    </w:p>
    <w:p>
      <w:pPr>
        <w:spacing w:line="360" w:lineRule="auto"/>
        <w:ind w:firstLine="424" w:firstLineChars="177"/>
        <w:rPr>
          <w:rFonts w:ascii="宋体" w:hAnsi="宋体"/>
          <w:sz w:val="24"/>
        </w:rPr>
      </w:pPr>
      <w:r>
        <w:rPr>
          <w:rFonts w:ascii="宋体" w:hAnsi="宋体"/>
          <w:sz w:val="24"/>
        </w:rPr>
        <w:t>采用“份额赎回”方式，赎回价格为每份基金份额净值1.00元。</w:t>
      </w:r>
      <w:r>
        <w:rPr>
          <w:rFonts w:hint="eastAsia" w:ascii="宋体" w:hAnsi="宋体"/>
          <w:sz w:val="24"/>
        </w:rPr>
        <w:t>赎回</w:t>
      </w:r>
      <w:r>
        <w:rPr>
          <w:rFonts w:ascii="宋体" w:hAnsi="宋体"/>
          <w:sz w:val="24"/>
        </w:rPr>
        <w:t>金额的确定</w:t>
      </w:r>
      <w:r>
        <w:rPr>
          <w:rFonts w:hint="eastAsia" w:ascii="宋体" w:hAnsi="宋体"/>
          <w:sz w:val="24"/>
        </w:rPr>
        <w:t>分</w:t>
      </w:r>
      <w:r>
        <w:rPr>
          <w:rFonts w:ascii="宋体" w:hAnsi="宋体"/>
          <w:sz w:val="24"/>
        </w:rPr>
        <w:t>两种情况处理：</w:t>
      </w:r>
    </w:p>
    <w:p>
      <w:pPr>
        <w:spacing w:line="360" w:lineRule="auto"/>
        <w:ind w:firstLine="424" w:firstLineChars="177"/>
        <w:rPr>
          <w:rFonts w:ascii="宋体" w:hAnsi="宋体"/>
          <w:sz w:val="24"/>
        </w:rPr>
      </w:pPr>
      <w:r>
        <w:rPr>
          <w:rFonts w:ascii="宋体" w:hAnsi="宋体"/>
          <w:sz w:val="24"/>
        </w:rPr>
        <w:fldChar w:fldCharType="begin"/>
      </w:r>
      <w:r>
        <w:rPr>
          <w:rFonts w:hint="eastAsia" w:ascii="宋体" w:hAnsi="宋体"/>
          <w:sz w:val="24"/>
        </w:rPr>
        <w:instrText xml:space="preserve">= 1 \* GB3</w:instrText>
      </w:r>
      <w:r>
        <w:rPr>
          <w:rFonts w:ascii="宋体" w:hAnsi="宋体"/>
          <w:sz w:val="24"/>
        </w:rPr>
        <w:fldChar w:fldCharType="separate"/>
      </w:r>
      <w:r>
        <w:rPr>
          <w:rFonts w:hint="eastAsia" w:ascii="宋体" w:hAnsi="宋体"/>
          <w:sz w:val="24"/>
        </w:rPr>
        <w:t>①</w:t>
      </w:r>
      <w:r>
        <w:rPr>
          <w:rFonts w:ascii="宋体" w:hAnsi="宋体"/>
          <w:sz w:val="24"/>
        </w:rPr>
        <w:fldChar w:fldCharType="end"/>
      </w:r>
      <w:r>
        <w:rPr>
          <w:rFonts w:ascii="宋体" w:hAnsi="宋体"/>
          <w:sz w:val="24"/>
        </w:rPr>
        <w:t>部分赎回时</w:t>
      </w:r>
    </w:p>
    <w:p>
      <w:pPr>
        <w:spacing w:line="360" w:lineRule="auto"/>
        <w:ind w:firstLine="424" w:firstLineChars="177"/>
        <w:rPr>
          <w:rFonts w:ascii="宋体" w:hAnsi="宋体"/>
          <w:sz w:val="24"/>
        </w:rPr>
      </w:pPr>
      <w:r>
        <w:rPr>
          <w:rFonts w:hint="eastAsia" w:ascii="宋体" w:hAnsi="宋体"/>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pPr>
        <w:pStyle w:val="62"/>
        <w:spacing w:line="360" w:lineRule="auto"/>
        <w:ind w:firstLine="424" w:firstLineChars="177"/>
        <w:rPr>
          <w:rFonts w:hAnsi="宋体" w:cs="Times New Roman"/>
        </w:rPr>
      </w:pPr>
      <w:r>
        <w:rPr>
          <w:rFonts w:hAnsi="宋体" w:cs="Times New Roman"/>
        </w:rPr>
        <w:t xml:space="preserve">赎回金额＝赎回份额×1.00 </w:t>
      </w:r>
    </w:p>
    <w:p>
      <w:pPr>
        <w:pStyle w:val="62"/>
        <w:spacing w:line="360" w:lineRule="auto"/>
        <w:ind w:firstLine="424" w:firstLineChars="177"/>
        <w:rPr>
          <w:rFonts w:hAnsi="宋体" w:cs="Times New Roman"/>
        </w:rPr>
      </w:pPr>
      <w:r>
        <w:rPr>
          <w:rFonts w:hAnsi="宋体" w:cs="Times New Roman"/>
        </w:rPr>
        <w:t xml:space="preserve">赎回金额计算结果均按四舍五入方法，保留到小数点后2位，由此产生的收益或损失由基金财产承担。 </w:t>
      </w:r>
    </w:p>
    <w:p>
      <w:pPr>
        <w:pStyle w:val="62"/>
        <w:spacing w:line="360" w:lineRule="auto"/>
        <w:ind w:firstLine="424" w:firstLineChars="177"/>
        <w:rPr>
          <w:rFonts w:hAnsi="宋体" w:cs="Times New Roman"/>
        </w:rPr>
      </w:pPr>
      <w:r>
        <w:rPr>
          <w:rFonts w:hAnsi="宋体" w:cs="Times New Roman"/>
        </w:rPr>
        <w:t>例：假定某投资者在T日赎回10,000.00份</w:t>
      </w:r>
      <w:r>
        <w:rPr>
          <w:rFonts w:hint="eastAsia" w:hAnsi="宋体"/>
        </w:rPr>
        <w:t>A类</w:t>
      </w:r>
      <w:r>
        <w:rPr>
          <w:rFonts w:hAnsi="宋体"/>
        </w:rPr>
        <w:t>基金份额</w:t>
      </w:r>
      <w:r>
        <w:rPr>
          <w:rFonts w:hAnsi="宋体" w:cs="Times New Roman"/>
        </w:rPr>
        <w:t>（当日单个基金份额持有人申请赎回</w:t>
      </w:r>
      <w:r>
        <w:rPr>
          <w:rFonts w:hint="eastAsia" w:hAnsi="宋体"/>
        </w:rPr>
        <w:t>A类</w:t>
      </w:r>
      <w:r>
        <w:rPr>
          <w:rFonts w:hAnsi="宋体"/>
        </w:rPr>
        <w:t>基金份额</w:t>
      </w:r>
      <w:r>
        <w:rPr>
          <w:rFonts w:hAnsi="宋体" w:cs="Times New Roman"/>
        </w:rPr>
        <w:t>未超过基金总份额1%以上），则赎回金额的计算如下：</w:t>
      </w:r>
    </w:p>
    <w:p>
      <w:pPr>
        <w:pStyle w:val="62"/>
        <w:spacing w:line="360" w:lineRule="auto"/>
        <w:ind w:firstLine="424" w:firstLineChars="177"/>
        <w:rPr>
          <w:rFonts w:hAnsi="宋体" w:cs="Times New Roman"/>
        </w:rPr>
      </w:pPr>
      <w:r>
        <w:rPr>
          <w:rFonts w:hAnsi="宋体" w:cs="Times New Roman"/>
        </w:rPr>
        <w:t xml:space="preserve">赎回金额=10,000.00×1.00=10,000.00元 </w:t>
      </w:r>
    </w:p>
    <w:p>
      <w:pPr>
        <w:pStyle w:val="62"/>
        <w:spacing w:line="360" w:lineRule="auto"/>
        <w:ind w:firstLine="424" w:firstLineChars="177"/>
        <w:rPr>
          <w:rFonts w:hAnsi="宋体" w:cs="Times New Roman"/>
        </w:rPr>
      </w:pPr>
      <w:r>
        <w:rPr>
          <w:rFonts w:hAnsi="宋体" w:cs="Times New Roman"/>
        </w:rPr>
        <w:t>即投资者赎回10,000.00份</w:t>
      </w:r>
      <w:r>
        <w:rPr>
          <w:rFonts w:hint="eastAsia" w:hAnsi="宋体"/>
        </w:rPr>
        <w:t>A类</w:t>
      </w:r>
      <w:r>
        <w:rPr>
          <w:rFonts w:hAnsi="宋体"/>
        </w:rPr>
        <w:t>基金份额</w:t>
      </w:r>
      <w:r>
        <w:rPr>
          <w:rFonts w:hAnsi="宋体" w:cs="Times New Roman"/>
        </w:rPr>
        <w:t>，则投资人可得到赎回金额</w:t>
      </w:r>
      <w:r>
        <w:rPr>
          <w:rFonts w:hint="eastAsia" w:hAnsi="宋体" w:cs="Times New Roman"/>
        </w:rPr>
        <w:t>为</w:t>
      </w:r>
      <w:r>
        <w:rPr>
          <w:rFonts w:hAnsi="宋体" w:cs="Times New Roman"/>
        </w:rPr>
        <w:t>10,000.00元。</w:t>
      </w:r>
    </w:p>
    <w:p>
      <w:pPr>
        <w:pStyle w:val="62"/>
        <w:spacing w:line="360" w:lineRule="auto"/>
        <w:ind w:firstLine="424" w:firstLineChars="177"/>
        <w:rPr>
          <w:rFonts w:hAnsi="宋体" w:cs="Times New Roman"/>
        </w:rPr>
      </w:pPr>
      <w:r>
        <w:rPr>
          <w:rFonts w:hAnsi="宋体" w:cs="Times New Roman"/>
        </w:rPr>
        <w:fldChar w:fldCharType="begin"/>
      </w:r>
      <w:r>
        <w:rPr>
          <w:rFonts w:hint="eastAsia" w:hAnsi="宋体" w:cs="Times New Roman"/>
        </w:rPr>
        <w:instrText xml:space="preserve">= 2 \* GB3</w:instrText>
      </w:r>
      <w:r>
        <w:rPr>
          <w:rFonts w:hAnsi="宋体" w:cs="Times New Roman"/>
        </w:rPr>
        <w:fldChar w:fldCharType="separate"/>
      </w:r>
      <w:r>
        <w:rPr>
          <w:rFonts w:hint="eastAsia" w:hAnsi="宋体" w:cs="Times New Roman"/>
        </w:rPr>
        <w:t>②</w:t>
      </w:r>
      <w:r>
        <w:rPr>
          <w:rFonts w:hAnsi="宋体" w:cs="Times New Roman"/>
        </w:rPr>
        <w:fldChar w:fldCharType="end"/>
      </w:r>
      <w:r>
        <w:rPr>
          <w:rFonts w:hint="eastAsia" w:hAnsi="宋体" w:cs="Times New Roman"/>
        </w:rPr>
        <w:t>全部</w:t>
      </w:r>
      <w:r>
        <w:rPr>
          <w:rFonts w:hAnsi="宋体" w:cs="Times New Roman"/>
        </w:rPr>
        <w:t>赎回</w:t>
      </w:r>
    </w:p>
    <w:p>
      <w:pPr>
        <w:pStyle w:val="62"/>
        <w:spacing w:line="360" w:lineRule="auto"/>
        <w:ind w:firstLine="424" w:firstLineChars="177"/>
        <w:rPr>
          <w:rFonts w:hAnsi="宋体" w:cs="Times New Roman"/>
        </w:rPr>
      </w:pPr>
      <w:r>
        <w:rPr>
          <w:rFonts w:hint="eastAsia" w:hAnsi="宋体" w:cs="Times New Roman"/>
        </w:rPr>
        <w:t xml:space="preserve">基金份额持有人在全部赎回其持有的本基金基金份额余额时，基金管理人自动将该基金份额持有人的基金份额未付收益一并结算并与赎回款一起支付给该基金份额持有人。赎回金额计算方法如下： </w:t>
      </w:r>
    </w:p>
    <w:p>
      <w:pPr>
        <w:pStyle w:val="62"/>
        <w:spacing w:line="360" w:lineRule="auto"/>
        <w:ind w:firstLine="424" w:firstLineChars="177"/>
        <w:rPr>
          <w:rFonts w:hAnsi="宋体" w:cs="Times New Roman"/>
        </w:rPr>
      </w:pPr>
      <w:r>
        <w:rPr>
          <w:rFonts w:hint="eastAsia" w:hAnsi="宋体" w:cs="Times New Roman"/>
        </w:rPr>
        <w:t>赎回金额=赎回份额×1.00 + 赎回份额对应的未付收益</w:t>
      </w:r>
    </w:p>
    <w:p>
      <w:pPr>
        <w:pStyle w:val="62"/>
        <w:spacing w:line="360" w:lineRule="auto"/>
        <w:ind w:firstLine="424" w:firstLineChars="177"/>
        <w:rPr>
          <w:rFonts w:hAnsi="宋体" w:cs="Times New Roman"/>
        </w:rPr>
      </w:pPr>
      <w:r>
        <w:rPr>
          <w:rFonts w:hint="eastAsia" w:hAnsi="宋体" w:cs="Times New Roman"/>
        </w:rPr>
        <w:t>赎回金额计算结果保留到小数点后两位，小数点后两位以后的部分四舍五入，由此产生的收益或损失由基金财产承担。</w:t>
      </w:r>
    </w:p>
    <w:p>
      <w:pPr>
        <w:pStyle w:val="62"/>
        <w:spacing w:line="360" w:lineRule="auto"/>
        <w:ind w:firstLine="424" w:firstLineChars="177"/>
        <w:rPr>
          <w:rFonts w:hAnsi="宋体" w:cs="Times New Roman"/>
        </w:rPr>
      </w:pPr>
      <w:r>
        <w:rPr>
          <w:rFonts w:hint="eastAsia" w:hAnsi="宋体" w:cs="Times New Roman"/>
        </w:rPr>
        <w:t>例：假定某投资者在T日所持有的</w:t>
      </w:r>
      <w:r>
        <w:rPr>
          <w:rFonts w:hint="eastAsia" w:hAnsi="宋体"/>
        </w:rPr>
        <w:t>A类</w:t>
      </w:r>
      <w:r>
        <w:rPr>
          <w:rFonts w:hAnsi="宋体"/>
        </w:rPr>
        <w:t>基金份额</w:t>
      </w:r>
      <w:r>
        <w:rPr>
          <w:rFonts w:hint="eastAsia" w:hAnsi="宋体" w:cs="Times New Roman"/>
        </w:rPr>
        <w:t>为100,000份</w:t>
      </w:r>
      <w:r>
        <w:rPr>
          <w:rFonts w:hint="eastAsia" w:hAnsi="宋体"/>
        </w:rPr>
        <w:t>A类</w:t>
      </w:r>
      <w:r>
        <w:rPr>
          <w:rFonts w:hAnsi="宋体"/>
        </w:rPr>
        <w:t>基金份额</w:t>
      </w:r>
      <w:r>
        <w:rPr>
          <w:rFonts w:hint="eastAsia" w:hAnsi="宋体" w:cs="Times New Roman"/>
        </w:rPr>
        <w:t>，对应的未付收益为100 元，该投资者申请全部赎回持有的</w:t>
      </w:r>
      <w:r>
        <w:rPr>
          <w:rFonts w:hint="eastAsia" w:hAnsi="宋体"/>
        </w:rPr>
        <w:t>A类</w:t>
      </w:r>
      <w:r>
        <w:rPr>
          <w:rFonts w:hAnsi="宋体"/>
        </w:rPr>
        <w:t>基金份额</w:t>
      </w:r>
      <w:r>
        <w:rPr>
          <w:rFonts w:hint="eastAsia" w:hAnsi="宋体" w:cs="Times New Roman"/>
        </w:rPr>
        <w:t>，则其可得到的赎回金额为：</w:t>
      </w:r>
    </w:p>
    <w:p>
      <w:pPr>
        <w:pStyle w:val="62"/>
        <w:spacing w:line="360" w:lineRule="auto"/>
        <w:ind w:firstLine="424" w:firstLineChars="177"/>
        <w:rPr>
          <w:rFonts w:hAnsi="宋体" w:cs="Times New Roman"/>
        </w:rPr>
      </w:pPr>
      <w:r>
        <w:rPr>
          <w:rFonts w:hint="eastAsia" w:hAnsi="宋体" w:cs="Times New Roman"/>
        </w:rPr>
        <w:t>赎回金额=100,000×1.00 + 100.00=100,100.00元</w:t>
      </w:r>
    </w:p>
    <w:p>
      <w:pPr>
        <w:pStyle w:val="62"/>
        <w:spacing w:line="360" w:lineRule="auto"/>
        <w:ind w:firstLine="424" w:firstLineChars="177"/>
      </w:pPr>
      <w:r>
        <w:rPr>
          <w:rFonts w:hint="eastAsia" w:hAnsi="宋体" w:cs="Times New Roman"/>
        </w:rPr>
        <w:t>即该投资者赎回100,000份本基金</w:t>
      </w:r>
      <w:r>
        <w:rPr>
          <w:rFonts w:hint="eastAsia" w:hAnsi="宋体"/>
        </w:rPr>
        <w:t>A类</w:t>
      </w:r>
      <w:r>
        <w:rPr>
          <w:rFonts w:hAnsi="宋体"/>
        </w:rPr>
        <w:t>基金份额</w:t>
      </w:r>
      <w:r>
        <w:rPr>
          <w:rFonts w:hint="eastAsia" w:hAnsi="宋体" w:cs="Times New Roman"/>
        </w:rPr>
        <w:t>，则其可得到的赎回金额为100,100元。</w:t>
      </w:r>
    </w:p>
    <w:p>
      <w:pPr>
        <w:spacing w:line="360" w:lineRule="auto"/>
        <w:ind w:firstLine="424" w:firstLineChars="177"/>
        <w:rPr>
          <w:rFonts w:ascii="宋体" w:hAnsi="宋体"/>
          <w:color w:val="000000"/>
          <w:kern w:val="0"/>
          <w:sz w:val="24"/>
        </w:rPr>
      </w:pPr>
      <w:bookmarkStart w:id="59" w:name="_Toc79392614"/>
      <w:r>
        <w:rPr>
          <w:rFonts w:hint="eastAsia" w:ascii="宋体" w:hAnsi="宋体"/>
          <w:color w:val="000000"/>
          <w:kern w:val="0"/>
          <w:sz w:val="24"/>
        </w:rPr>
        <w:t>（七）</w:t>
      </w:r>
      <w:bookmarkEnd w:id="59"/>
      <w:r>
        <w:rPr>
          <w:rFonts w:hint="eastAsia" w:ascii="宋体" w:hAnsi="宋体"/>
          <w:color w:val="000000"/>
          <w:kern w:val="0"/>
          <w:sz w:val="24"/>
        </w:rPr>
        <w:t>拒绝或暂停申购的情形</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发生下列情况时，基金管理人可拒绝或暂停接受投资人的申购申请：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1、因不可抗力导致基金无法正常运作；</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2、发生基金合同规定的暂停基金资产估值情况时，基金管理人可暂停接受投资人的申购申请；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3、证券交易所交易时间非正常停市，导致基金管理人无法计算当日基金资产净值；</w:t>
      </w:r>
    </w:p>
    <w:p>
      <w:pPr>
        <w:spacing w:line="360" w:lineRule="auto"/>
        <w:ind w:firstLine="480" w:firstLineChars="200"/>
        <w:rPr>
          <w:rFonts w:ascii="宋体" w:hAnsi="宋体"/>
          <w:bCs/>
          <w:color w:val="000000"/>
          <w:kern w:val="0"/>
          <w:sz w:val="24"/>
        </w:rPr>
      </w:pPr>
      <w:r>
        <w:rPr>
          <w:rFonts w:hint="eastAsia" w:ascii="宋体" w:hAnsi="宋体"/>
          <w:bCs/>
          <w:color w:val="000000"/>
          <w:kern w:val="0"/>
          <w:sz w:val="24"/>
        </w:rPr>
        <w:t>4、本基金出现当日已实现收益或累计未分配已实现收益小于零的情形，为保护持有人的利益，基金管理人将暂停本基金的申购；</w:t>
      </w:r>
    </w:p>
    <w:p>
      <w:pPr>
        <w:spacing w:line="360" w:lineRule="auto"/>
        <w:ind w:firstLine="480" w:firstLineChars="200"/>
        <w:rPr>
          <w:rFonts w:ascii="宋体" w:hAnsi="宋体"/>
          <w:bCs/>
          <w:color w:val="000000"/>
          <w:kern w:val="0"/>
          <w:sz w:val="24"/>
        </w:rPr>
      </w:pPr>
      <w:r>
        <w:rPr>
          <w:rFonts w:hint="eastAsia" w:ascii="宋体" w:hAnsi="宋体"/>
          <w:bCs/>
          <w:color w:val="000000"/>
          <w:kern w:val="0"/>
          <w:sz w:val="24"/>
        </w:rPr>
        <w:t xml:space="preserve">5、申购达到基金管理人设定的数额限制； </w:t>
      </w:r>
    </w:p>
    <w:p>
      <w:pPr>
        <w:spacing w:line="360" w:lineRule="auto"/>
        <w:ind w:firstLine="480" w:firstLineChars="200"/>
        <w:rPr>
          <w:rFonts w:ascii="宋体" w:hAnsi="宋体"/>
          <w:bCs/>
          <w:color w:val="000000"/>
          <w:kern w:val="0"/>
          <w:sz w:val="24"/>
        </w:rPr>
      </w:pPr>
      <w:r>
        <w:rPr>
          <w:rFonts w:hint="eastAsia" w:ascii="宋体" w:hAnsi="宋体"/>
          <w:bCs/>
          <w:color w:val="000000"/>
          <w:kern w:val="0"/>
          <w:sz w:val="24"/>
        </w:rPr>
        <w:t>6、某笔申购超过基金管理人公告的单笔申购上限；</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7、接受某笔或某些申购申请可能会影响或损害现有基金份额持有人利益时；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8、基金资产规模过大，使基金管理人无法找到合适的投资品种，或其他可能对基金业绩产生负面影响，或发生其他损害现有基金份额持有人利益的情形；</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9、销售机构、登记机构因异常情况无法正常办理申购业务；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9、当影子定价确定的基金资产净值与摊余成本法计算的基金资产净值的正偏离度绝对值达到0.5%时；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10、法律法规规定或中国证监会认定的其他情形。</w:t>
      </w:r>
    </w:p>
    <w:p>
      <w:pPr>
        <w:spacing w:line="360" w:lineRule="auto"/>
        <w:ind w:firstLine="480" w:firstLineChars="200"/>
        <w:rPr>
          <w:rFonts w:ascii="宋体" w:hAnsi="宋体"/>
          <w:color w:val="000000"/>
          <w:kern w:val="0"/>
          <w:sz w:val="24"/>
        </w:rPr>
      </w:pPr>
      <w:r>
        <w:rPr>
          <w:rFonts w:ascii="宋体" w:hAnsi="宋体"/>
          <w:bCs/>
          <w:color w:val="000000"/>
          <w:kern w:val="0"/>
          <w:sz w:val="24"/>
        </w:rPr>
        <w:t>发生上述第1、2、</w:t>
      </w:r>
      <w:r>
        <w:rPr>
          <w:rFonts w:hint="eastAsia" w:ascii="宋体" w:hAnsi="宋体"/>
          <w:bCs/>
          <w:color w:val="000000"/>
          <w:kern w:val="0"/>
          <w:sz w:val="24"/>
        </w:rPr>
        <w:t>3</w:t>
      </w:r>
      <w:r>
        <w:rPr>
          <w:rFonts w:ascii="宋体" w:hAnsi="宋体"/>
          <w:bCs/>
          <w:color w:val="000000"/>
          <w:kern w:val="0"/>
          <w:sz w:val="24"/>
        </w:rPr>
        <w:t>、</w:t>
      </w:r>
      <w:r>
        <w:rPr>
          <w:rFonts w:hint="eastAsia" w:ascii="宋体" w:hAnsi="宋体"/>
          <w:bCs/>
          <w:color w:val="000000"/>
          <w:kern w:val="0"/>
          <w:sz w:val="24"/>
        </w:rPr>
        <w:t>4、8、9、10项暂停或拒绝申购情形之一且基金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r>
        <w:rPr>
          <w:rFonts w:ascii="宋体" w:hAnsi="宋体"/>
          <w:bCs/>
          <w:color w:val="000000"/>
          <w:kern w:val="0"/>
          <w:sz w:val="24"/>
        </w:rPr>
        <w:t>。</w:t>
      </w:r>
      <w:bookmarkStart w:id="60" w:name="_Hlt70481650"/>
      <w:bookmarkEnd w:id="60"/>
    </w:p>
    <w:p>
      <w:pPr>
        <w:spacing w:line="360" w:lineRule="auto"/>
        <w:ind w:firstLine="480" w:firstLineChars="200"/>
        <w:rPr>
          <w:rFonts w:ascii="宋体" w:hAnsi="宋体"/>
          <w:color w:val="000000"/>
          <w:kern w:val="0"/>
          <w:sz w:val="24"/>
        </w:rPr>
      </w:pPr>
      <w:r>
        <w:rPr>
          <w:rFonts w:hint="eastAsia" w:ascii="宋体" w:hAnsi="宋体"/>
          <w:color w:val="000000"/>
          <w:kern w:val="0"/>
          <w:sz w:val="24"/>
        </w:rPr>
        <w:t>（八）暂停赎回或延缓支付赎回款项的情形</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发生下列情形时，基金管理人可暂停接受投资人的赎回申请或延缓支付赎回款项：</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1、因不可抗力导致基金管理人无法支付赎回款项；</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2、发生基金合同规定的暂停基金资产估值情况；</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3、证券交易所交易时间非正常停市，导致基金管理人无法计算当日基金资产净值；</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4、连续两个或两个以上开放日发生巨额赎回；</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5、继续接受赎回可能会影响或损害基金份额持有人利益的情形时</w:t>
      </w:r>
      <w:r>
        <w:rPr>
          <w:rFonts w:ascii="宋体" w:hAnsi="宋体"/>
          <w:color w:val="000000"/>
          <w:kern w:val="0"/>
          <w:sz w:val="24"/>
        </w:rPr>
        <w:t>；</w:t>
      </w:r>
    </w:p>
    <w:p>
      <w:pPr>
        <w:spacing w:line="360" w:lineRule="auto"/>
        <w:ind w:firstLine="424" w:firstLineChars="177"/>
        <w:rPr>
          <w:rFonts w:ascii="宋体" w:hAnsi="宋体"/>
          <w:bCs/>
          <w:color w:val="000000"/>
          <w:kern w:val="0"/>
          <w:sz w:val="24"/>
        </w:rPr>
      </w:pPr>
      <w:r>
        <w:rPr>
          <w:rFonts w:hint="eastAsia" w:ascii="宋体" w:hAnsi="宋体"/>
          <w:bCs/>
          <w:color w:val="000000"/>
          <w:kern w:val="0"/>
          <w:sz w:val="24"/>
        </w:rPr>
        <w:t>6、本基金出现当日已实现收益或累计未分配已实现收益小于零的情形，为保护基金份额持有人的利益，基金管理人可暂停本基金的赎回；</w:t>
      </w:r>
    </w:p>
    <w:p>
      <w:pPr>
        <w:spacing w:line="360" w:lineRule="auto"/>
        <w:ind w:firstLine="424" w:firstLineChars="177"/>
        <w:rPr>
          <w:rFonts w:ascii="宋体" w:hAnsi="宋体"/>
          <w:bCs/>
          <w:color w:val="000000"/>
          <w:kern w:val="0"/>
          <w:sz w:val="24"/>
        </w:rPr>
      </w:pPr>
      <w:r>
        <w:rPr>
          <w:rFonts w:ascii="宋体" w:hAnsi="宋体"/>
          <w:bCs/>
          <w:color w:val="000000"/>
          <w:kern w:val="0"/>
          <w:sz w:val="24"/>
        </w:rPr>
        <w:t>7</w:t>
      </w:r>
      <w:r>
        <w:rPr>
          <w:rFonts w:hint="eastAsia" w:ascii="宋体" w:hAnsi="宋体"/>
          <w:bCs/>
          <w:color w:val="000000"/>
          <w:kern w:val="0"/>
          <w:sz w:val="24"/>
        </w:rPr>
        <w:t xml:space="preserve">、当日赎回申请达到基金管理人设定的数额限制； </w:t>
      </w:r>
    </w:p>
    <w:p>
      <w:pPr>
        <w:spacing w:line="360" w:lineRule="auto"/>
        <w:ind w:firstLine="424" w:firstLineChars="177"/>
        <w:rPr>
          <w:rFonts w:ascii="宋体" w:hAnsi="宋体"/>
          <w:bCs/>
          <w:color w:val="000000"/>
          <w:kern w:val="0"/>
          <w:sz w:val="24"/>
        </w:rPr>
      </w:pPr>
      <w:r>
        <w:rPr>
          <w:rFonts w:ascii="宋体" w:hAnsi="宋体"/>
          <w:bCs/>
          <w:color w:val="000000"/>
          <w:kern w:val="0"/>
          <w:sz w:val="24"/>
        </w:rPr>
        <w:t>8</w:t>
      </w:r>
      <w:r>
        <w:rPr>
          <w:rFonts w:hint="eastAsia" w:ascii="宋体" w:hAnsi="宋体"/>
          <w:bCs/>
          <w:color w:val="000000"/>
          <w:kern w:val="0"/>
          <w:sz w:val="24"/>
        </w:rPr>
        <w:t>、当影子定价确定的基金资产净值与摊余成本法计算的基金资产净值的负偏离度绝对值连续两个交易日超过0.5%时，基金管理人决定履行适当程序终止基金合同的；</w:t>
      </w:r>
    </w:p>
    <w:p>
      <w:pPr>
        <w:spacing w:line="360" w:lineRule="auto"/>
        <w:ind w:firstLine="424" w:firstLineChars="177"/>
        <w:rPr>
          <w:rFonts w:ascii="宋体" w:hAnsi="宋体"/>
          <w:color w:val="000000"/>
          <w:kern w:val="0"/>
          <w:sz w:val="24"/>
        </w:rPr>
      </w:pPr>
      <w:r>
        <w:rPr>
          <w:rFonts w:ascii="宋体" w:hAnsi="宋体"/>
          <w:color w:val="000000"/>
          <w:kern w:val="0"/>
          <w:sz w:val="24"/>
        </w:rPr>
        <w:t>9</w:t>
      </w:r>
      <w:r>
        <w:rPr>
          <w:rFonts w:hint="eastAsia" w:ascii="宋体" w:hAnsi="宋体"/>
          <w:color w:val="000000"/>
          <w:kern w:val="0"/>
          <w:sz w:val="24"/>
        </w:rPr>
        <w:t>、法律法规规定或中国证监会认定的其他情形。</w:t>
      </w:r>
    </w:p>
    <w:p>
      <w:pPr>
        <w:spacing w:line="360" w:lineRule="auto"/>
        <w:ind w:firstLine="424" w:firstLineChars="177"/>
        <w:rPr>
          <w:bCs/>
          <w:sz w:val="24"/>
        </w:rPr>
      </w:pPr>
      <w:r>
        <w:rPr>
          <w:rFonts w:hint="eastAsia"/>
          <w:bCs/>
          <w:sz w:val="24"/>
        </w:rPr>
        <w:t>发生上述情形之一且基金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pPr>
        <w:spacing w:line="360" w:lineRule="auto"/>
        <w:ind w:firstLine="480" w:firstLineChars="200"/>
        <w:rPr>
          <w:rFonts w:ascii="宋体" w:hAnsi="宋体"/>
          <w:bCs/>
          <w:color w:val="000000"/>
          <w:kern w:val="0"/>
          <w:sz w:val="24"/>
        </w:rPr>
      </w:pPr>
      <w:r>
        <w:rPr>
          <w:rFonts w:hint="eastAsia" w:ascii="宋体" w:hAnsi="宋体"/>
          <w:bCs/>
          <w:color w:val="000000"/>
          <w:kern w:val="0"/>
          <w:sz w:val="24"/>
        </w:rPr>
        <w:t>为公平对待不同类别基金份额持有人的合法权益，单个基金份额持有人在单个开放日申请赎回基金份额超过基金总份额10%的，基金管理人可以采取延期办理部分赎回申请或者延缓支付赎回款项的措施。</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（九）巨额赎回的情形及处理方式</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1、巨额赎回的认定</w:t>
      </w:r>
    </w:p>
    <w:p>
      <w:pPr>
        <w:spacing w:line="360" w:lineRule="auto"/>
        <w:ind w:firstLine="480" w:firstLineChars="200"/>
        <w:rPr>
          <w:rFonts w:ascii="宋体" w:hAnsi="宋体"/>
          <w:bCs/>
          <w:sz w:val="24"/>
        </w:rPr>
      </w:pPr>
      <w:r>
        <w:rPr>
          <w:rFonts w:hint="eastAsia" w:ascii="宋体" w:hAnsi="宋体"/>
          <w:bCs/>
          <w:sz w:val="24"/>
        </w:rPr>
        <w:t>若本基金</w:t>
      </w:r>
      <w:r>
        <w:rPr>
          <w:rFonts w:ascii="宋体" w:hAnsi="宋体"/>
          <w:bCs/>
          <w:sz w:val="24"/>
        </w:rPr>
        <w:t>单个开放日内，</w:t>
      </w:r>
      <w:r>
        <w:rPr>
          <w:rFonts w:hint="eastAsia" w:ascii="宋体" w:hAnsi="宋体"/>
          <w:bCs/>
          <w:sz w:val="24"/>
        </w:rPr>
        <w:t>各类</w:t>
      </w:r>
      <w:r>
        <w:rPr>
          <w:rFonts w:ascii="宋体" w:hAnsi="宋体"/>
          <w:bCs/>
          <w:sz w:val="24"/>
        </w:rPr>
        <w:t>基金份额净赎回申请（赎回申请份额总数加上基金转换中转出申请份额</w:t>
      </w:r>
      <w:r>
        <w:rPr>
          <w:rFonts w:hint="eastAsia" w:ascii="宋体" w:hAnsi="宋体"/>
          <w:bCs/>
          <w:sz w:val="24"/>
        </w:rPr>
        <w:t>总数</w:t>
      </w:r>
      <w:r>
        <w:rPr>
          <w:rFonts w:ascii="宋体" w:hAnsi="宋体"/>
          <w:bCs/>
          <w:sz w:val="24"/>
        </w:rPr>
        <w:t>后扣除</w:t>
      </w:r>
      <w:r>
        <w:rPr>
          <w:rFonts w:hint="eastAsia" w:ascii="宋体" w:hAnsi="宋体"/>
          <w:bCs/>
          <w:sz w:val="24"/>
        </w:rPr>
        <w:t>申购</w:t>
      </w:r>
      <w:r>
        <w:rPr>
          <w:rFonts w:ascii="宋体" w:hAnsi="宋体"/>
          <w:bCs/>
          <w:sz w:val="24"/>
        </w:rPr>
        <w:t>申请</w:t>
      </w:r>
      <w:r>
        <w:rPr>
          <w:rFonts w:hint="eastAsia" w:ascii="宋体" w:hAnsi="宋体"/>
          <w:bCs/>
          <w:sz w:val="24"/>
        </w:rPr>
        <w:t>份额</w:t>
      </w:r>
      <w:r>
        <w:rPr>
          <w:rFonts w:ascii="宋体" w:hAnsi="宋体"/>
          <w:bCs/>
          <w:sz w:val="24"/>
        </w:rPr>
        <w:t>总数及基金转换中转入申请份额总数后的</w:t>
      </w:r>
      <w:r>
        <w:rPr>
          <w:rFonts w:hint="eastAsia" w:ascii="宋体" w:hAnsi="宋体"/>
          <w:bCs/>
          <w:sz w:val="24"/>
        </w:rPr>
        <w:t>余额</w:t>
      </w:r>
      <w:r>
        <w:rPr>
          <w:rFonts w:ascii="宋体" w:hAnsi="宋体"/>
          <w:bCs/>
          <w:sz w:val="24"/>
        </w:rPr>
        <w:t>）超过前一开放日的基金总份额的</w:t>
      </w:r>
      <w:r>
        <w:rPr>
          <w:rFonts w:hint="eastAsia" w:ascii="宋体" w:hAnsi="宋体"/>
          <w:bCs/>
          <w:sz w:val="24"/>
        </w:rPr>
        <w:t>10</w:t>
      </w:r>
      <w:r>
        <w:rPr>
          <w:rFonts w:ascii="宋体" w:hAnsi="宋体"/>
          <w:bCs/>
          <w:sz w:val="24"/>
        </w:rPr>
        <w:t>%，即认为</w:t>
      </w:r>
      <w:r>
        <w:rPr>
          <w:rFonts w:hint="eastAsia" w:ascii="宋体" w:hAnsi="宋体"/>
          <w:bCs/>
          <w:sz w:val="24"/>
        </w:rPr>
        <w:t>各类</w:t>
      </w:r>
      <w:r>
        <w:rPr>
          <w:rFonts w:ascii="宋体" w:hAnsi="宋体"/>
          <w:bCs/>
          <w:sz w:val="24"/>
        </w:rPr>
        <w:t>基金份额发生了</w:t>
      </w:r>
      <w:r>
        <w:rPr>
          <w:rFonts w:hint="eastAsia" w:ascii="宋体" w:hAnsi="宋体"/>
          <w:bCs/>
          <w:sz w:val="24"/>
        </w:rPr>
        <w:t>巨额</w:t>
      </w:r>
      <w:r>
        <w:rPr>
          <w:rFonts w:ascii="宋体" w:hAnsi="宋体"/>
          <w:bCs/>
          <w:sz w:val="24"/>
        </w:rPr>
        <w:t>赎回。</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w:t>
      </w:r>
      <w:r>
        <w:rPr>
          <w:rFonts w:hint="eastAsia" w:ascii="宋体" w:hAnsi="宋体"/>
          <w:bCs/>
          <w:sz w:val="24"/>
        </w:rPr>
        <w:t>各类</w:t>
      </w:r>
      <w:r>
        <w:rPr>
          <w:rFonts w:ascii="宋体" w:hAnsi="宋体"/>
          <w:bCs/>
          <w:sz w:val="24"/>
        </w:rPr>
        <w:t>基金份额</w:t>
      </w:r>
      <w:r>
        <w:rPr>
          <w:rFonts w:hint="eastAsia" w:ascii="宋体" w:hAnsi="宋体"/>
          <w:color w:val="000000"/>
          <w:kern w:val="0"/>
          <w:sz w:val="24"/>
        </w:rPr>
        <w:t>巨额赎回的处理方式</w:t>
      </w:r>
    </w:p>
    <w:p>
      <w:pPr>
        <w:spacing w:line="360" w:lineRule="auto"/>
        <w:ind w:firstLine="480" w:firstLineChars="200"/>
        <w:rPr>
          <w:bCs/>
          <w:sz w:val="24"/>
          <w:szCs w:val="20"/>
        </w:rPr>
      </w:pPr>
      <w:r>
        <w:rPr>
          <w:bCs/>
          <w:sz w:val="24"/>
          <w:szCs w:val="20"/>
        </w:rPr>
        <w:t>当</w:t>
      </w:r>
      <w:r>
        <w:rPr>
          <w:rFonts w:hint="eastAsia" w:ascii="宋体" w:hAnsi="宋体"/>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（1）全额赎回：当基金管理人认为有能力支付投资人的全部</w:t>
      </w:r>
      <w:r>
        <w:rPr>
          <w:rFonts w:hint="eastAsia" w:ascii="宋体" w:hAnsi="宋体"/>
          <w:bCs/>
          <w:sz w:val="24"/>
        </w:rPr>
        <w:t>各类</w:t>
      </w:r>
      <w:r>
        <w:rPr>
          <w:rFonts w:ascii="宋体" w:hAnsi="宋体"/>
          <w:color w:val="000000"/>
          <w:kern w:val="0"/>
          <w:sz w:val="24"/>
        </w:rPr>
        <w:t>基金份额</w:t>
      </w:r>
      <w:r>
        <w:rPr>
          <w:rFonts w:hint="eastAsia" w:ascii="宋体" w:hAnsi="宋体"/>
          <w:color w:val="000000"/>
          <w:kern w:val="0"/>
          <w:sz w:val="24"/>
        </w:rPr>
        <w:t>赎回申请时，按正常赎回程序执行。</w:t>
      </w:r>
    </w:p>
    <w:p>
      <w:pPr>
        <w:spacing w:line="360" w:lineRule="auto"/>
        <w:ind w:firstLine="480" w:firstLineChars="200"/>
        <w:rPr>
          <w:rFonts w:ascii="宋体" w:hAnsi="宋体"/>
          <w:bCs/>
          <w:sz w:val="24"/>
          <w:szCs w:val="20"/>
        </w:rPr>
      </w:pPr>
      <w:r>
        <w:rPr>
          <w:rFonts w:hint="eastAsia" w:ascii="宋体" w:hAnsi="宋体"/>
          <w:color w:val="000000"/>
          <w:kern w:val="0"/>
          <w:sz w:val="24"/>
        </w:rPr>
        <w:t>（2）部分延期赎回：当基金管理人认为支付投资人的</w:t>
      </w:r>
      <w:r>
        <w:rPr>
          <w:rFonts w:hint="eastAsia" w:ascii="宋体" w:hAnsi="宋体"/>
          <w:bCs/>
          <w:sz w:val="24"/>
        </w:rPr>
        <w:t>各类</w:t>
      </w:r>
      <w:r>
        <w:rPr>
          <w:rFonts w:ascii="宋体" w:hAnsi="宋体"/>
          <w:bCs/>
          <w:sz w:val="24"/>
        </w:rPr>
        <w:t>基金份额</w:t>
      </w:r>
      <w:r>
        <w:rPr>
          <w:rFonts w:hint="eastAsia" w:ascii="宋体" w:hAnsi="宋体"/>
          <w:color w:val="000000"/>
          <w:kern w:val="0"/>
          <w:sz w:val="24"/>
        </w:rPr>
        <w:t>赎回申请有困难或认为因支付投资人的</w:t>
      </w:r>
      <w:r>
        <w:rPr>
          <w:rFonts w:hint="eastAsia" w:ascii="宋体" w:hAnsi="宋体"/>
          <w:bCs/>
          <w:sz w:val="24"/>
        </w:rPr>
        <w:t>各类</w:t>
      </w:r>
      <w:r>
        <w:rPr>
          <w:rFonts w:ascii="宋体" w:hAnsi="宋体"/>
          <w:bCs/>
          <w:sz w:val="24"/>
        </w:rPr>
        <w:t>基金份额</w:t>
      </w:r>
      <w:r>
        <w:rPr>
          <w:rFonts w:hint="eastAsia" w:ascii="宋体" w:hAnsi="宋体"/>
          <w:color w:val="000000"/>
          <w:kern w:val="0"/>
          <w:sz w:val="24"/>
        </w:rPr>
        <w:t>赎回申请而进行的财产变现可能会对基金资产净值造成较大波动时，基金管理人在当日接受</w:t>
      </w:r>
      <w:r>
        <w:rPr>
          <w:rFonts w:hint="eastAsia" w:ascii="宋体" w:hAnsi="宋体"/>
          <w:bCs/>
          <w:sz w:val="24"/>
        </w:rPr>
        <w:t>各类</w:t>
      </w:r>
      <w:r>
        <w:rPr>
          <w:rFonts w:ascii="宋体" w:hAnsi="宋体"/>
          <w:bCs/>
          <w:sz w:val="24"/>
        </w:rPr>
        <w:t>基金份额</w:t>
      </w:r>
      <w:r>
        <w:rPr>
          <w:rFonts w:hint="eastAsia" w:ascii="宋体" w:hAnsi="宋体"/>
          <w:color w:val="000000"/>
          <w:kern w:val="0"/>
          <w:sz w:val="24"/>
        </w:rPr>
        <w:t>赎回比例不低于上一开放日基金总份额的10%的前提下，可对其余</w:t>
      </w:r>
      <w:r>
        <w:rPr>
          <w:rFonts w:hint="eastAsia" w:ascii="宋体" w:hAnsi="宋体"/>
          <w:bCs/>
          <w:sz w:val="24"/>
        </w:rPr>
        <w:t>各类</w:t>
      </w:r>
      <w:r>
        <w:rPr>
          <w:rFonts w:ascii="宋体" w:hAnsi="宋体"/>
          <w:bCs/>
          <w:sz w:val="24"/>
        </w:rPr>
        <w:t>基金份额</w:t>
      </w:r>
      <w:r>
        <w:rPr>
          <w:rFonts w:hint="eastAsia" w:ascii="宋体" w:hAnsi="宋体"/>
          <w:color w:val="000000"/>
          <w:kern w:val="0"/>
          <w:sz w:val="24"/>
        </w:rPr>
        <w:t>赎回申请延期办理。对于当日的</w:t>
      </w:r>
      <w:r>
        <w:rPr>
          <w:rFonts w:hint="eastAsia" w:ascii="宋体" w:hAnsi="宋体"/>
          <w:bCs/>
          <w:sz w:val="24"/>
        </w:rPr>
        <w:t>各类</w:t>
      </w:r>
      <w:r>
        <w:rPr>
          <w:rFonts w:hint="eastAsia" w:ascii="宋体" w:hAnsi="宋体"/>
          <w:color w:val="000000"/>
          <w:kern w:val="0"/>
          <w:sz w:val="24"/>
        </w:rPr>
        <w:t>基金份额赎回申请，应当按单个账户</w:t>
      </w:r>
      <w:r>
        <w:rPr>
          <w:rFonts w:hint="eastAsia" w:ascii="宋体" w:hAnsi="宋体"/>
          <w:bCs/>
          <w:sz w:val="24"/>
        </w:rPr>
        <w:t>各类</w:t>
      </w:r>
      <w:r>
        <w:rPr>
          <w:rFonts w:ascii="宋体" w:hAnsi="宋体"/>
          <w:bCs/>
          <w:sz w:val="24"/>
        </w:rPr>
        <w:t>基金份额</w:t>
      </w:r>
      <w:r>
        <w:rPr>
          <w:rFonts w:hint="eastAsia" w:ascii="宋体" w:hAnsi="宋体"/>
          <w:color w:val="000000"/>
          <w:kern w:val="0"/>
          <w:sz w:val="24"/>
        </w:rPr>
        <w:t>赎回申请量占</w:t>
      </w:r>
      <w:r>
        <w:rPr>
          <w:rFonts w:hint="eastAsia" w:ascii="宋体" w:hAnsi="宋体"/>
          <w:bCs/>
          <w:sz w:val="24"/>
        </w:rPr>
        <w:t>各类</w:t>
      </w:r>
      <w:r>
        <w:rPr>
          <w:rFonts w:ascii="宋体" w:hAnsi="宋体"/>
          <w:bCs/>
          <w:sz w:val="24"/>
        </w:rPr>
        <w:t>基金份额</w:t>
      </w:r>
      <w:r>
        <w:rPr>
          <w:rFonts w:hint="eastAsia" w:ascii="宋体" w:hAnsi="宋体"/>
          <w:color w:val="000000"/>
          <w:kern w:val="0"/>
          <w:sz w:val="24"/>
        </w:rPr>
        <w:t>赎回申请总量的比例，确定当日受理的赎回份额；对于</w:t>
      </w:r>
      <w:r>
        <w:rPr>
          <w:rFonts w:hint="eastAsia" w:ascii="宋体" w:hAnsi="宋体"/>
          <w:bCs/>
          <w:sz w:val="24"/>
        </w:rPr>
        <w:t>各类</w:t>
      </w:r>
      <w:r>
        <w:rPr>
          <w:rFonts w:hint="eastAsia" w:ascii="宋体" w:hAnsi="宋体"/>
          <w:color w:val="000000"/>
          <w:kern w:val="0"/>
          <w:sz w:val="24"/>
        </w:rPr>
        <w:t>基金份额未能赎回部分，投资人在提交</w:t>
      </w:r>
      <w:r>
        <w:rPr>
          <w:rFonts w:hint="eastAsia" w:ascii="宋体" w:hAnsi="宋体"/>
          <w:bCs/>
          <w:sz w:val="24"/>
        </w:rPr>
        <w:t>各类</w:t>
      </w:r>
      <w:r>
        <w:rPr>
          <w:rFonts w:ascii="宋体" w:hAnsi="宋体"/>
          <w:bCs/>
          <w:sz w:val="24"/>
        </w:rPr>
        <w:t>基金份额</w:t>
      </w:r>
      <w:r>
        <w:rPr>
          <w:rFonts w:hint="eastAsia" w:ascii="宋体" w:hAnsi="宋体"/>
          <w:color w:val="000000"/>
          <w:kern w:val="0"/>
          <w:sz w:val="24"/>
        </w:rPr>
        <w:t>赎回申请时可以选择延期赎回或取消赎回。选择延期赎回的，将自动转入下一个开放日继续赎回，直到全部赎回为止；选择取消赎回的，当日未获受理的部分</w:t>
      </w:r>
      <w:r>
        <w:rPr>
          <w:rFonts w:hint="eastAsia" w:ascii="宋体" w:hAnsi="宋体"/>
          <w:bCs/>
          <w:sz w:val="24"/>
        </w:rPr>
        <w:t>各类</w:t>
      </w:r>
      <w:r>
        <w:rPr>
          <w:rFonts w:ascii="宋体" w:hAnsi="宋体"/>
          <w:bCs/>
          <w:sz w:val="24"/>
        </w:rPr>
        <w:t>基金份额</w:t>
      </w:r>
      <w:r>
        <w:rPr>
          <w:rFonts w:hint="eastAsia" w:ascii="宋体" w:hAnsi="宋体"/>
          <w:color w:val="000000"/>
          <w:kern w:val="0"/>
          <w:sz w:val="24"/>
        </w:rPr>
        <w:t>赎回申请将被撤销。延期的</w:t>
      </w:r>
      <w:r>
        <w:rPr>
          <w:rFonts w:hint="eastAsia" w:ascii="宋体" w:hAnsi="宋体"/>
          <w:bCs/>
          <w:sz w:val="24"/>
        </w:rPr>
        <w:t>各类</w:t>
      </w:r>
      <w:r>
        <w:rPr>
          <w:rFonts w:ascii="宋体" w:hAnsi="宋体"/>
          <w:bCs/>
          <w:sz w:val="24"/>
        </w:rPr>
        <w:t>基金份额</w:t>
      </w:r>
      <w:r>
        <w:rPr>
          <w:rFonts w:hint="eastAsia" w:ascii="宋体" w:hAnsi="宋体"/>
          <w:color w:val="000000"/>
          <w:kern w:val="0"/>
          <w:sz w:val="24"/>
        </w:rPr>
        <w:t>赎回申请与下一开放日赎回申请一并处理，无优先权，以此类推，直到全部赎回为止。如投资人在提交</w:t>
      </w:r>
      <w:r>
        <w:rPr>
          <w:rFonts w:hint="eastAsia" w:ascii="宋体" w:hAnsi="宋体"/>
          <w:bCs/>
          <w:sz w:val="24"/>
        </w:rPr>
        <w:t>各类</w:t>
      </w:r>
      <w:r>
        <w:rPr>
          <w:rFonts w:hint="eastAsia" w:ascii="宋体" w:hAnsi="宋体"/>
          <w:color w:val="000000"/>
          <w:kern w:val="0"/>
          <w:sz w:val="24"/>
        </w:rPr>
        <w:t>基金份额赎回申请时未作明确选择，投资人未能赎回部分作自动延期赎回处理</w:t>
      </w:r>
      <w:r>
        <w:rPr>
          <w:rFonts w:ascii="宋体" w:hAnsi="宋体"/>
          <w:bCs/>
          <w:sz w:val="24"/>
          <w:szCs w:val="20"/>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w:t>
      </w:r>
      <w:r>
        <w:rPr>
          <w:rFonts w:ascii="宋体" w:hAnsi="宋体"/>
          <w:bCs/>
          <w:color w:val="000000"/>
          <w:kern w:val="0"/>
          <w:sz w:val="24"/>
        </w:rPr>
        <w:t>暂停赎回：</w:t>
      </w:r>
      <w:r>
        <w:rPr>
          <w:rFonts w:hint="eastAsia" w:ascii="宋体" w:hAnsi="宋体"/>
          <w:color w:val="000000"/>
          <w:kern w:val="0"/>
          <w:sz w:val="24"/>
        </w:rPr>
        <w:t>连续2个开放日以上（含本数）</w:t>
      </w:r>
      <w:r>
        <w:rPr>
          <w:rFonts w:hint="eastAsia" w:ascii="宋体" w:hAnsi="宋体"/>
          <w:bCs/>
          <w:sz w:val="24"/>
        </w:rPr>
        <w:t>各类</w:t>
      </w:r>
      <w:r>
        <w:rPr>
          <w:rFonts w:ascii="宋体" w:hAnsi="宋体"/>
          <w:color w:val="000000"/>
          <w:kern w:val="0"/>
          <w:sz w:val="24"/>
        </w:rPr>
        <w:t>基金份额</w:t>
      </w:r>
      <w:r>
        <w:rPr>
          <w:rFonts w:hint="eastAsia" w:ascii="宋体" w:hAnsi="宋体"/>
          <w:color w:val="000000"/>
          <w:kern w:val="0"/>
          <w:sz w:val="24"/>
        </w:rPr>
        <w:t>发生巨额赎回，如基金管理人认为有必要，可暂停接受</w:t>
      </w:r>
      <w:r>
        <w:rPr>
          <w:rFonts w:hint="eastAsia" w:ascii="宋体" w:hAnsi="宋体"/>
          <w:bCs/>
          <w:sz w:val="24"/>
        </w:rPr>
        <w:t>各类</w:t>
      </w:r>
      <w:r>
        <w:rPr>
          <w:rFonts w:ascii="宋体" w:hAnsi="宋体"/>
          <w:color w:val="000000"/>
          <w:kern w:val="0"/>
          <w:sz w:val="24"/>
        </w:rPr>
        <w:t>基金份额</w:t>
      </w:r>
      <w:r>
        <w:rPr>
          <w:rFonts w:hint="eastAsia" w:ascii="宋体" w:hAnsi="宋体"/>
          <w:color w:val="000000"/>
          <w:kern w:val="0"/>
          <w:sz w:val="24"/>
        </w:rPr>
        <w:t>的赎回申请；已经接受的</w:t>
      </w:r>
      <w:r>
        <w:rPr>
          <w:rFonts w:hint="eastAsia" w:ascii="宋体" w:hAnsi="宋体"/>
          <w:bCs/>
          <w:sz w:val="24"/>
        </w:rPr>
        <w:t>各类</w:t>
      </w:r>
      <w:r>
        <w:rPr>
          <w:rFonts w:ascii="宋体" w:hAnsi="宋体"/>
          <w:color w:val="000000"/>
          <w:kern w:val="0"/>
          <w:sz w:val="24"/>
        </w:rPr>
        <w:t>基金份额</w:t>
      </w:r>
      <w:r>
        <w:rPr>
          <w:rFonts w:hint="eastAsia" w:ascii="宋体" w:hAnsi="宋体"/>
          <w:color w:val="000000"/>
          <w:kern w:val="0"/>
          <w:sz w:val="24"/>
        </w:rPr>
        <w:t>赎回申请可以延缓支付赎回款项，但不得超过20个工作日，并应当在指定媒介上进行公告。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3、巨额赎回的公告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当发生上述延期赎回并延期办理时，基金管理人应当通过邮寄、传真或者招募说明书规定的其他方式在3个交易日内通知基金份额持有人，说明有关处理方法，同时在指定媒介上刊登公告。</w:t>
      </w:r>
    </w:p>
    <w:p>
      <w:pPr>
        <w:spacing w:line="360" w:lineRule="auto"/>
        <w:ind w:firstLine="480" w:firstLineChars="200"/>
        <w:rPr>
          <w:rFonts w:ascii="宋体" w:hAnsi="宋体"/>
          <w:color w:val="000000"/>
          <w:kern w:val="0"/>
          <w:sz w:val="24"/>
        </w:rPr>
      </w:pPr>
      <w:bookmarkStart w:id="61" w:name="_Toc79392617"/>
      <w:r>
        <w:rPr>
          <w:rFonts w:hint="eastAsia" w:ascii="宋体" w:hAnsi="宋体"/>
          <w:color w:val="000000"/>
          <w:kern w:val="0"/>
          <w:sz w:val="24"/>
        </w:rPr>
        <w:t>（十）暂停申购或赎回的公告和重新开放申购或赎回的公告</w:t>
      </w:r>
      <w:bookmarkEnd w:id="61"/>
    </w:p>
    <w:p>
      <w:pPr>
        <w:spacing w:line="360" w:lineRule="auto"/>
        <w:ind w:firstLine="480" w:firstLineChars="200"/>
        <w:rPr>
          <w:rFonts w:ascii="宋体" w:hAnsi="宋体"/>
          <w:color w:val="000000"/>
          <w:kern w:val="0"/>
          <w:sz w:val="24"/>
        </w:rPr>
      </w:pPr>
      <w:r>
        <w:rPr>
          <w:rFonts w:hint="eastAsia" w:ascii="宋体" w:hAnsi="宋体"/>
          <w:color w:val="000000"/>
          <w:kern w:val="0"/>
          <w:sz w:val="24"/>
        </w:rPr>
        <w:t>1、发生上述暂停申购或赎回情况的，基金管理人当日应立即向中国证监会备案，并在规定期限内在指定媒介上刊登暂停公告。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2、如发生暂停的时间为1日，基金管理人应于重新开放日，在指定媒介上刊登基金重新开放申购或赎回公告，并公布最近1 个开放日的每万份基金已实现收益和7 日年化收益率。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3、如发生暂停的时间超过1 日，基金管理人自行确定公告增加次数，并根据《信息披露办法》的规定在指定媒介刊登公告。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（十二）基金转换</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hint="eastAsia" w:ascii="宋体" w:hAnsi="宋体"/>
          <w:color w:val="000000"/>
          <w:kern w:val="0"/>
          <w:sz w:val="24"/>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w:t>
      </w:r>
      <w:r>
        <w:rPr>
          <w:rFonts w:ascii="宋体" w:hAnsi="宋体"/>
          <w:color w:val="000000"/>
          <w:kern w:val="0"/>
          <w:sz w:val="24"/>
        </w:rPr>
        <w:t>十三）</w:t>
      </w:r>
      <w:r>
        <w:rPr>
          <w:rFonts w:hint="eastAsia" w:ascii="宋体" w:hAnsi="宋体"/>
          <w:color w:val="000000"/>
          <w:kern w:val="0"/>
          <w:sz w:val="24"/>
        </w:rPr>
        <w:t>基金的非交易过户</w:t>
      </w:r>
    </w:p>
    <w:p>
      <w:pPr>
        <w:pStyle w:val="24"/>
        <w:adjustRightInd w:val="0"/>
        <w:snapToGrid w:val="0"/>
        <w:spacing w:after="0" w:line="360" w:lineRule="auto"/>
        <w:ind w:firstLine="480" w:firstLineChars="200"/>
        <w:rPr>
          <w:sz w:val="24"/>
        </w:rPr>
      </w:pPr>
      <w:r>
        <w:rPr>
          <w:rFonts w:hint="eastAsia"/>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pPr>
        <w:pStyle w:val="24"/>
        <w:adjustRightInd w:val="0"/>
        <w:snapToGrid w:val="0"/>
        <w:spacing w:after="0" w:line="360" w:lineRule="auto"/>
        <w:ind w:firstLine="480" w:firstLineChars="200"/>
        <w:rPr>
          <w:sz w:val="24"/>
        </w:rPr>
      </w:pPr>
      <w:r>
        <w:rPr>
          <w:rFonts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登记机构要求提供的相关资料，对于符合条件的非交易过户申请按登记机构的规定办理，并按登记机构规定的标准收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（十四）基金的转托管</w:t>
      </w:r>
    </w:p>
    <w:p>
      <w:pPr>
        <w:pStyle w:val="24"/>
        <w:adjustRightInd w:val="0"/>
        <w:snapToGrid w:val="0"/>
        <w:spacing w:after="0" w:line="360" w:lineRule="auto"/>
        <w:ind w:firstLine="480" w:firstLineChars="200"/>
        <w:rPr>
          <w:sz w:val="24"/>
        </w:rPr>
      </w:pPr>
      <w:r>
        <w:rPr>
          <w:rFonts w:hint="eastAsia"/>
          <w:sz w:val="24"/>
        </w:rPr>
        <w:t>基金份额持有人可办理已持有基金份额在不同销售机构之间的转托管，基金销售机构可以按照规定的标准收取转托管费。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（十五）定期定额投资计划</w:t>
      </w:r>
    </w:p>
    <w:p>
      <w:pPr>
        <w:spacing w:line="360" w:lineRule="auto"/>
        <w:ind w:firstLine="480" w:firstLineChars="20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（十六）基金份额的冻结和解冻</w:t>
      </w:r>
    </w:p>
    <w:p>
      <w:pPr>
        <w:spacing w:line="360" w:lineRule="auto"/>
        <w:ind w:firstLine="480" w:firstLineChars="200"/>
        <w:rPr>
          <w:sz w:val="24"/>
        </w:rPr>
      </w:pPr>
      <w:r>
        <w:rPr>
          <w:rFonts w:hint="eastAsia"/>
          <w:sz w:val="24"/>
        </w:rPr>
        <w:t>基金登记机构只受理国家有权机关依法要求的基金份额的冻结与解冻，以及登记机构认可、符合法律法规的其他情况下的冻结与解冻。</w:t>
      </w:r>
    </w:p>
    <w:p>
      <w:pPr>
        <w:pStyle w:val="24"/>
        <w:adjustRightInd w:val="0"/>
        <w:snapToGrid w:val="0"/>
        <w:spacing w:after="0" w:line="360" w:lineRule="auto"/>
        <w:ind w:firstLine="480" w:firstLineChars="200"/>
        <w:jc w:val="left"/>
        <w:rPr>
          <w:sz w:val="24"/>
        </w:rPr>
      </w:pPr>
      <w:r>
        <w:rPr>
          <w:rFonts w:hint="eastAsia"/>
          <w:sz w:val="24"/>
        </w:rPr>
        <w:t>（十七</w:t>
      </w:r>
      <w:r>
        <w:rPr>
          <w:sz w:val="24"/>
        </w:rPr>
        <w:t>）</w:t>
      </w:r>
      <w:r>
        <w:rPr>
          <w:rFonts w:hint="eastAsia"/>
          <w:sz w:val="24"/>
        </w:rPr>
        <w:t>基金份额的转让</w:t>
      </w:r>
    </w:p>
    <w:p>
      <w:pPr>
        <w:pStyle w:val="24"/>
        <w:adjustRightInd w:val="0"/>
        <w:snapToGrid w:val="0"/>
        <w:spacing w:after="0" w:line="360" w:lineRule="auto"/>
        <w:ind w:firstLine="480" w:firstLineChars="20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pPr>
        <w:pStyle w:val="24"/>
        <w:adjustRightInd w:val="0"/>
        <w:snapToGrid w:val="0"/>
        <w:spacing w:after="0" w:line="360" w:lineRule="auto"/>
        <w:ind w:firstLine="480" w:firstLineChars="200"/>
        <w:jc w:val="left"/>
        <w:rPr>
          <w:sz w:val="24"/>
        </w:rPr>
      </w:pPr>
      <w:r>
        <w:rPr>
          <w:rFonts w:hint="eastAsia"/>
          <w:sz w:val="24"/>
        </w:rPr>
        <w:t>（十八）未来条件许可情况下的基金模式</w:t>
      </w:r>
    </w:p>
    <w:p>
      <w:pPr>
        <w:pStyle w:val="24"/>
        <w:adjustRightInd w:val="0"/>
        <w:snapToGrid w:val="0"/>
        <w:spacing w:after="0" w:line="360" w:lineRule="auto"/>
        <w:ind w:firstLine="480" w:firstLineChars="20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bookmarkEnd w:id="58"/>
      <w:bookmarkStart w:id="62" w:name="_Toc55791176"/>
      <w:bookmarkStart w:id="63" w:name="_Toc88969266"/>
      <w:bookmarkStart w:id="64" w:name="_Toc256666918"/>
      <w:bookmarkStart w:id="65" w:name="_Toc256666798"/>
    </w:p>
    <w:p>
      <w:pPr>
        <w:pStyle w:val="2"/>
        <w:spacing w:line="360" w:lineRule="auto"/>
        <w:jc w:val="center"/>
        <w:rPr>
          <w:rFonts w:ascii="宋体" w:hAnsi="宋体"/>
          <w:color w:val="000000"/>
          <w:kern w:val="0"/>
          <w:sz w:val="24"/>
          <w:szCs w:val="24"/>
        </w:rPr>
      </w:pPr>
      <w:bookmarkStart w:id="66" w:name="_Toc23324"/>
      <w:bookmarkStart w:id="67" w:name="_Toc30413"/>
      <w:bookmarkStart w:id="68" w:name="_Toc482624798"/>
      <w:r>
        <w:rPr>
          <w:rFonts w:hint="eastAsia" w:ascii="宋体" w:hAnsi="宋体"/>
          <w:color w:val="000000"/>
          <w:kern w:val="0"/>
          <w:sz w:val="24"/>
          <w:szCs w:val="24"/>
        </w:rPr>
        <w:t>第九部分  基金的投资</w:t>
      </w:r>
      <w:bookmarkEnd w:id="66"/>
      <w:bookmarkEnd w:id="67"/>
      <w:bookmarkEnd w:id="68"/>
    </w:p>
    <w:bookmarkEnd w:id="62"/>
    <w:bookmarkEnd w:id="63"/>
    <w:bookmarkEnd w:id="64"/>
    <w:bookmarkEnd w:id="65"/>
    <w:p>
      <w:pPr>
        <w:spacing w:line="360" w:lineRule="auto"/>
        <w:ind w:firstLine="480" w:firstLineChars="200"/>
        <w:rPr>
          <w:rFonts w:ascii="宋体" w:hAnsi="宋体"/>
          <w:color w:val="000000"/>
          <w:kern w:val="0"/>
          <w:sz w:val="24"/>
        </w:rPr>
      </w:pPr>
      <w:bookmarkStart w:id="69" w:name="_Toc88969271"/>
      <w:r>
        <w:rPr>
          <w:rFonts w:hint="eastAsia" w:ascii="宋体" w:hAnsi="宋体"/>
          <w:color w:val="000000"/>
          <w:kern w:val="0"/>
          <w:sz w:val="24"/>
        </w:rPr>
        <w:t>（一）</w:t>
      </w:r>
      <w:r>
        <w:rPr>
          <w:rFonts w:ascii="宋体" w:hAnsi="宋体"/>
          <w:color w:val="000000"/>
          <w:kern w:val="0"/>
          <w:sz w:val="24"/>
        </w:rPr>
        <w:t>投资目标</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在保持本金安全和资产流动性基础上追求较高的当期收益。</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（二）投资范围</w:t>
      </w:r>
    </w:p>
    <w:p>
      <w:pPr>
        <w:spacing w:line="360" w:lineRule="auto"/>
        <w:ind w:firstLine="424" w:firstLineChars="177"/>
        <w:rPr>
          <w:rFonts w:ascii="宋体" w:hAnsi="宋体"/>
          <w:color w:val="000000"/>
          <w:kern w:val="0"/>
          <w:sz w:val="24"/>
        </w:rPr>
      </w:pPr>
      <w:bookmarkStart w:id="70" w:name="OLE_LINK4"/>
      <w:r>
        <w:rPr>
          <w:rFonts w:hint="eastAsia" w:ascii="宋体" w:hAnsi="宋体"/>
          <w:color w:val="000000"/>
          <w:kern w:val="0"/>
          <w:sz w:val="24"/>
        </w:rPr>
        <w:t>1、现金；</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2、期限在1年以内（含1年）的银行存款、债券回购、中央银行票据、同业存单；</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3、剩余期限在397天以内（含397天）的债券、非金融企业债务融资工具、资产支持证券；</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4、中国证监会、中国人民银行认可的其它具有良好流动性的货币市场工具。</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如法律法规或监管机构以后允许货币市场基金投资其他产品，基金管理人在履行适当的程序后，可以将其纳入投资范围</w:t>
      </w:r>
      <w:r>
        <w:rPr>
          <w:rFonts w:hint="eastAsia" w:ascii="宋体" w:hAnsi="宋体" w:cs="Arial"/>
          <w:bCs/>
          <w:sz w:val="24"/>
        </w:rPr>
        <w:t>。</w:t>
      </w:r>
    </w:p>
    <w:bookmarkEnd w:id="70"/>
    <w:p>
      <w:pPr>
        <w:spacing w:line="360" w:lineRule="auto"/>
        <w:ind w:firstLine="424" w:firstLineChars="177"/>
        <w:rPr>
          <w:rFonts w:ascii="宋体" w:hAnsi="宋体"/>
          <w:color w:val="000000"/>
          <w:kern w:val="0"/>
          <w:sz w:val="24"/>
        </w:rPr>
      </w:pPr>
      <w:r>
        <w:rPr>
          <w:rFonts w:hint="eastAsia" w:ascii="宋体" w:hAnsi="宋体"/>
          <w:color w:val="000000"/>
          <w:kern w:val="0"/>
          <w:sz w:val="24"/>
        </w:rPr>
        <w:t>（三）</w:t>
      </w:r>
      <w:r>
        <w:rPr>
          <w:rFonts w:ascii="宋体" w:hAnsi="宋体"/>
          <w:color w:val="000000"/>
          <w:kern w:val="0"/>
          <w:sz w:val="24"/>
        </w:rPr>
        <w:t>投资策略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1、类属配置策略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2、久期策略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3、套利策略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4、现金流管理策略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5、债券回购投资策略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6、利率债的投资策略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7、信用债的投资策略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8、资产支持证券的投资策略</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w:t>
      </w:r>
      <w:r>
        <w:rPr>
          <w:rFonts w:ascii="宋体" w:hAnsi="宋体"/>
          <w:color w:val="000000"/>
          <w:kern w:val="0"/>
          <w:sz w:val="24"/>
        </w:rPr>
        <w:t>四）</w:t>
      </w:r>
      <w:bookmarkStart w:id="71" w:name="_Toc257033993"/>
      <w:r>
        <w:rPr>
          <w:rFonts w:hint="eastAsia" w:ascii="宋体" w:hAnsi="宋体"/>
          <w:color w:val="000000"/>
          <w:kern w:val="0"/>
          <w:sz w:val="24"/>
        </w:rPr>
        <w:t>投资</w:t>
      </w:r>
      <w:r>
        <w:rPr>
          <w:rFonts w:ascii="宋体" w:hAnsi="宋体"/>
          <w:color w:val="000000"/>
          <w:kern w:val="0"/>
          <w:sz w:val="24"/>
        </w:rPr>
        <w:t>限制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w:t>
      </w:r>
      <w:r>
        <w:rPr>
          <w:rFonts w:ascii="宋体" w:hAnsi="宋体"/>
          <w:color w:val="000000"/>
          <w:kern w:val="0"/>
          <w:sz w:val="24"/>
        </w:rPr>
        <w:t>组合</w:t>
      </w:r>
      <w:r>
        <w:rPr>
          <w:rFonts w:hint="eastAsia" w:ascii="宋体" w:hAnsi="宋体"/>
          <w:color w:val="000000"/>
          <w:kern w:val="0"/>
          <w:sz w:val="24"/>
        </w:rPr>
        <w:t>限制</w:t>
      </w:r>
    </w:p>
    <w:p>
      <w:pPr>
        <w:pStyle w:val="60"/>
        <w:adjustRightInd w:val="0"/>
        <w:snapToGrid w:val="0"/>
        <w:ind w:firstLine="424" w:firstLineChars="177"/>
        <w:rPr>
          <w:rFonts w:ascii="宋体"/>
          <w:color w:val="000000"/>
          <w:kern w:val="0"/>
          <w:sz w:val="24"/>
          <w:szCs w:val="24"/>
        </w:rPr>
      </w:pPr>
      <w:r>
        <w:rPr>
          <w:rFonts w:ascii="宋体" w:hAnsi="宋体" w:cs="Arial"/>
          <w:bCs/>
          <w:sz w:val="24"/>
        </w:rPr>
        <w:t>基金的投资组合应遵循以下限制：</w:t>
      </w:r>
    </w:p>
    <w:p>
      <w:pPr>
        <w:pStyle w:val="60"/>
        <w:adjustRightInd w:val="0"/>
        <w:snapToGrid w:val="0"/>
        <w:ind w:firstLine="480"/>
        <w:rPr>
          <w:rFonts w:ascii="宋体" w:hAnsi="宋体" w:cs="Arial"/>
          <w:bCs/>
          <w:sz w:val="24"/>
        </w:rPr>
      </w:pPr>
      <w:r>
        <w:rPr>
          <w:rFonts w:ascii="宋体" w:hAnsi="宋体" w:cs="Arial"/>
          <w:bCs/>
          <w:sz w:val="24"/>
        </w:rPr>
        <w:t>（1</w:t>
      </w:r>
      <w:r>
        <w:rPr>
          <w:rFonts w:hint="eastAsia" w:ascii="宋体" w:hAnsi="宋体" w:cs="Arial"/>
          <w:bCs/>
          <w:sz w:val="24"/>
        </w:rPr>
        <w:t>）本基金投资组合的平均剩余期限在每个交易日均不得超过</w:t>
      </w:r>
      <w:r>
        <w:rPr>
          <w:rFonts w:ascii="宋体" w:hAnsi="宋体" w:cs="Arial"/>
          <w:bCs/>
          <w:sz w:val="24"/>
        </w:rPr>
        <w:t>120</w:t>
      </w:r>
      <w:r>
        <w:rPr>
          <w:rFonts w:hint="eastAsia" w:ascii="宋体" w:hAnsi="宋体" w:cs="Arial"/>
          <w:bCs/>
          <w:sz w:val="24"/>
        </w:rPr>
        <w:t>天，平均剩余存续期不得超过</w:t>
      </w:r>
      <w:r>
        <w:rPr>
          <w:rFonts w:ascii="宋体" w:hAnsi="宋体" w:cs="Arial"/>
          <w:bCs/>
          <w:sz w:val="24"/>
        </w:rPr>
        <w:t xml:space="preserve">240 </w:t>
      </w:r>
      <w:r>
        <w:rPr>
          <w:rFonts w:hint="eastAsia" w:ascii="宋体" w:hAnsi="宋体" w:cs="Arial"/>
          <w:bCs/>
          <w:sz w:val="24"/>
        </w:rPr>
        <w:t>天；</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2</w:t>
      </w:r>
      <w:r>
        <w:rPr>
          <w:rFonts w:hint="eastAsia" w:ascii="宋体" w:hAnsi="宋体" w:cs="Arial"/>
          <w:bCs/>
          <w:sz w:val="24"/>
        </w:rPr>
        <w:t>）本基金与由基金管理人管理的其他基金持有一家公司发行的证券，不得超过该证券的</w:t>
      </w:r>
      <w:r>
        <w:rPr>
          <w:rFonts w:ascii="宋体" w:hAnsi="宋体" w:cs="Arial"/>
          <w:bCs/>
          <w:sz w:val="24"/>
        </w:rPr>
        <w:t>10%</w:t>
      </w:r>
      <w:r>
        <w:rPr>
          <w:rFonts w:hint="eastAsia" w:ascii="宋体" w:hAnsi="宋体" w:cs="Arial"/>
          <w:bCs/>
          <w:sz w:val="24"/>
        </w:rPr>
        <w:t>；</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3</w:t>
      </w:r>
      <w:r>
        <w:rPr>
          <w:rFonts w:hint="eastAsia" w:ascii="宋体" w:hAnsi="宋体" w:cs="Arial"/>
          <w:bCs/>
          <w:sz w:val="24"/>
        </w:rPr>
        <w:t>）本基金投资于固定期限银行存款的比例不得超过基金资产净值的</w:t>
      </w:r>
      <w:r>
        <w:rPr>
          <w:rFonts w:ascii="宋体" w:hAnsi="宋体" w:cs="Arial"/>
          <w:bCs/>
          <w:sz w:val="24"/>
        </w:rPr>
        <w:t>30%</w:t>
      </w:r>
      <w:r>
        <w:rPr>
          <w:rFonts w:hint="eastAsia" w:ascii="宋体" w:hAnsi="宋体" w:cs="Arial"/>
          <w:bCs/>
          <w:sz w:val="24"/>
        </w:rPr>
        <w:t>，但根据协议可提前支取的银行存款，不受此限制；</w:t>
      </w:r>
    </w:p>
    <w:p>
      <w:pPr>
        <w:autoSpaceDE w:val="0"/>
        <w:autoSpaceDN w:val="0"/>
        <w:adjustRightInd w:val="0"/>
        <w:spacing w:line="360" w:lineRule="auto"/>
        <w:ind w:firstLine="480" w:firstLineChars="200"/>
        <w:jc w:val="left"/>
      </w:pPr>
      <w:r>
        <w:rPr>
          <w:rFonts w:hint="eastAsia" w:ascii="宋体" w:hAnsi="宋体" w:cs="Arial"/>
          <w:bCs/>
          <w:sz w:val="24"/>
        </w:rPr>
        <w:t>（4）本基金投资于具有基金托管人资格的同一商业银行的银行存款、同业存单占基金资产净值的比例合计不得超过</w:t>
      </w:r>
      <w:r>
        <w:rPr>
          <w:rFonts w:ascii="宋体" w:hAnsi="宋体" w:cs="Arial"/>
          <w:bCs/>
          <w:sz w:val="24"/>
        </w:rPr>
        <w:t>20%</w:t>
      </w:r>
      <w:r>
        <w:rPr>
          <w:rFonts w:hint="eastAsia" w:ascii="宋体" w:hAnsi="宋体" w:cs="Arial"/>
          <w:bCs/>
          <w:sz w:val="24"/>
        </w:rPr>
        <w:t>，投资于不具有基金托管人资格的同一商业银行的银行存款、同业存单占基金资产净值的比例合计不得超过</w:t>
      </w:r>
      <w:r>
        <w:rPr>
          <w:rFonts w:ascii="宋体" w:hAnsi="宋体" w:cs="Arial"/>
          <w:bCs/>
          <w:sz w:val="24"/>
        </w:rPr>
        <w:t>5%</w:t>
      </w:r>
      <w:r>
        <w:rPr>
          <w:rFonts w:hint="eastAsia" w:ascii="宋体" w:hAnsi="宋体" w:cs="Arial"/>
          <w:bCs/>
          <w:sz w:val="24"/>
        </w:rPr>
        <w:t>；</w:t>
      </w:r>
    </w:p>
    <w:p>
      <w:pPr>
        <w:pStyle w:val="60"/>
        <w:adjustRightInd w:val="0"/>
        <w:snapToGrid w:val="0"/>
        <w:ind w:firstLine="480"/>
        <w:rPr>
          <w:rFonts w:ascii="宋体" w:hAnsi="宋体" w:cs="Arial"/>
          <w:bCs/>
          <w:sz w:val="24"/>
        </w:rPr>
      </w:pPr>
      <w:r>
        <w:rPr>
          <w:rFonts w:hint="eastAsia" w:ascii="宋体" w:hAnsi="宋体" w:cs="Arial"/>
          <w:bCs/>
          <w:sz w:val="24"/>
        </w:rPr>
        <w:t>（5）本基金持有一家公司发行的证券，其市值不超过基金资产净值的</w:t>
      </w:r>
      <w:r>
        <w:rPr>
          <w:rFonts w:ascii="宋体" w:hAnsi="宋体" w:cs="Arial"/>
          <w:bCs/>
          <w:sz w:val="24"/>
        </w:rPr>
        <w:t>10</w:t>
      </w:r>
      <w:r>
        <w:rPr>
          <w:rFonts w:hint="eastAsia" w:ascii="宋体" w:hAnsi="宋体" w:cs="Arial"/>
          <w:bCs/>
          <w:sz w:val="24"/>
        </w:rPr>
        <w:t>％；</w:t>
      </w:r>
    </w:p>
    <w:p>
      <w:pPr>
        <w:pStyle w:val="60"/>
        <w:adjustRightInd w:val="0"/>
        <w:snapToGrid w:val="0"/>
        <w:ind w:firstLine="480"/>
        <w:rPr>
          <w:rFonts w:ascii="宋体" w:hAnsi="宋体" w:cs="Arial"/>
          <w:bCs/>
          <w:sz w:val="24"/>
        </w:rPr>
      </w:pPr>
      <w:r>
        <w:rPr>
          <w:rFonts w:hint="eastAsia" w:ascii="宋体" w:hAnsi="宋体" w:cs="Arial"/>
          <w:bCs/>
          <w:sz w:val="24"/>
        </w:rPr>
        <w:t>（6）本基金持有的全部资产支持证券，其市值不得超过基金资产净值的</w:t>
      </w:r>
      <w:r>
        <w:rPr>
          <w:rFonts w:ascii="宋体" w:hAnsi="宋体" w:cs="Arial"/>
          <w:bCs/>
          <w:sz w:val="24"/>
        </w:rPr>
        <w:t>20%</w:t>
      </w:r>
      <w:r>
        <w:rPr>
          <w:rFonts w:hint="eastAsia" w:ascii="宋体" w:hAnsi="宋体" w:cs="Arial"/>
          <w:bCs/>
          <w:sz w:val="24"/>
        </w:rPr>
        <w:t>；本基金持有的同一（指同一信用级别）资产支持证券的比例，不得超过该资产支持证券规模的</w:t>
      </w:r>
      <w:r>
        <w:rPr>
          <w:rFonts w:ascii="宋体" w:hAnsi="宋体" w:cs="Arial"/>
          <w:bCs/>
          <w:sz w:val="24"/>
        </w:rPr>
        <w:t>10%</w:t>
      </w:r>
      <w:r>
        <w:rPr>
          <w:rFonts w:hint="eastAsia" w:ascii="宋体" w:hAnsi="宋体" w:cs="Arial"/>
          <w:bCs/>
          <w:sz w:val="24"/>
        </w:rPr>
        <w:t>；本基金投资于同一原始权益人的各类资产支持证券的比例，不得超过基金资产净值的</w:t>
      </w:r>
      <w:r>
        <w:rPr>
          <w:rFonts w:ascii="宋体" w:hAnsi="宋体" w:cs="Arial"/>
          <w:bCs/>
          <w:sz w:val="24"/>
        </w:rPr>
        <w:t>10%</w:t>
      </w:r>
      <w:r>
        <w:rPr>
          <w:rFonts w:hint="eastAsia" w:ascii="宋体" w:hAnsi="宋体" w:cs="Arial"/>
          <w:bCs/>
          <w:sz w:val="24"/>
        </w:rPr>
        <w:t>；</w:t>
      </w:r>
    </w:p>
    <w:p>
      <w:pPr>
        <w:pStyle w:val="60"/>
        <w:adjustRightInd w:val="0"/>
        <w:snapToGrid w:val="0"/>
        <w:ind w:firstLine="480"/>
        <w:rPr>
          <w:rFonts w:ascii="宋体" w:hAnsi="宋体" w:cs="Arial"/>
          <w:bCs/>
          <w:sz w:val="24"/>
        </w:rPr>
      </w:pPr>
      <w:r>
        <w:rPr>
          <w:rFonts w:hint="eastAsia" w:ascii="宋体" w:hAnsi="宋体" w:cs="Arial"/>
          <w:bCs/>
          <w:sz w:val="24"/>
        </w:rPr>
        <w:t>本基金管理人管理的全部基金投资于同一原始权益人的各类资产支持证券，不得超过其</w:t>
      </w:r>
      <w:r>
        <w:rPr>
          <w:rFonts w:ascii="宋体" w:hAnsi="宋体" w:cs="Arial"/>
          <w:bCs/>
          <w:sz w:val="24"/>
        </w:rPr>
        <w:t>各类资产支持证券合计规模的10%</w:t>
      </w:r>
      <w:r>
        <w:rPr>
          <w:rFonts w:hint="eastAsia" w:ascii="宋体" w:hAnsi="宋体" w:cs="Arial"/>
          <w:bCs/>
          <w:sz w:val="24"/>
        </w:rPr>
        <w:t>；</w:t>
      </w:r>
    </w:p>
    <w:p>
      <w:pPr>
        <w:pStyle w:val="60"/>
        <w:adjustRightInd w:val="0"/>
        <w:snapToGrid w:val="0"/>
        <w:ind w:firstLine="480"/>
        <w:rPr>
          <w:rFonts w:ascii="宋体" w:hAnsi="宋体" w:cs="Arial"/>
          <w:bCs/>
          <w:sz w:val="24"/>
        </w:rPr>
      </w:pPr>
      <w:r>
        <w:rPr>
          <w:rFonts w:hint="eastAsia" w:ascii="宋体" w:hAnsi="宋体" w:cs="Arial"/>
          <w:bCs/>
          <w:sz w:val="24"/>
        </w:rPr>
        <w:t>（7）除发生巨额赎回、连续</w:t>
      </w:r>
      <w:r>
        <w:rPr>
          <w:rFonts w:ascii="宋体" w:hAnsi="宋体" w:cs="Arial"/>
          <w:bCs/>
          <w:sz w:val="24"/>
        </w:rPr>
        <w:t xml:space="preserve">3 </w:t>
      </w:r>
      <w:r>
        <w:rPr>
          <w:rFonts w:hint="eastAsia" w:ascii="宋体" w:hAnsi="宋体" w:cs="Arial"/>
          <w:bCs/>
          <w:sz w:val="24"/>
        </w:rPr>
        <w:t>个交易日累计赎回</w:t>
      </w:r>
      <w:r>
        <w:rPr>
          <w:rFonts w:ascii="宋体" w:hAnsi="宋体" w:cs="Arial"/>
          <w:bCs/>
          <w:sz w:val="24"/>
        </w:rPr>
        <w:t>20%</w:t>
      </w:r>
      <w:r>
        <w:rPr>
          <w:rFonts w:hint="eastAsia" w:ascii="宋体" w:hAnsi="宋体" w:cs="Arial"/>
          <w:bCs/>
          <w:sz w:val="24"/>
        </w:rPr>
        <w:t>以上或者连续</w:t>
      </w:r>
      <w:r>
        <w:rPr>
          <w:rFonts w:ascii="宋体" w:hAnsi="宋体" w:cs="Arial"/>
          <w:bCs/>
          <w:sz w:val="24"/>
        </w:rPr>
        <w:t xml:space="preserve">5 </w:t>
      </w:r>
      <w:r>
        <w:rPr>
          <w:rFonts w:hint="eastAsia" w:ascii="宋体" w:hAnsi="宋体" w:cs="Arial"/>
          <w:bCs/>
          <w:sz w:val="24"/>
        </w:rPr>
        <w:t>个交易日累计赎回</w:t>
      </w:r>
      <w:r>
        <w:rPr>
          <w:rFonts w:ascii="宋体" w:hAnsi="宋体" w:cs="Arial"/>
          <w:bCs/>
          <w:sz w:val="24"/>
        </w:rPr>
        <w:t>30%</w:t>
      </w:r>
      <w:r>
        <w:rPr>
          <w:rFonts w:hint="eastAsia" w:ascii="宋体" w:hAnsi="宋体" w:cs="Arial"/>
          <w:bCs/>
          <w:sz w:val="24"/>
        </w:rPr>
        <w:t>以上的情形外，本基金债券正回购的资金余额在每个交易日均不得超过基金资产净值的</w:t>
      </w:r>
      <w:r>
        <w:rPr>
          <w:rFonts w:ascii="宋体" w:hAnsi="宋体" w:cs="Arial"/>
          <w:bCs/>
          <w:sz w:val="24"/>
        </w:rPr>
        <w:t>20%</w:t>
      </w:r>
      <w:r>
        <w:rPr>
          <w:rFonts w:hint="eastAsia" w:ascii="宋体" w:hAnsi="宋体" w:cs="Arial"/>
          <w:bCs/>
          <w:sz w:val="24"/>
        </w:rPr>
        <w:t>；</w:t>
      </w:r>
    </w:p>
    <w:p>
      <w:pPr>
        <w:pStyle w:val="60"/>
        <w:adjustRightInd w:val="0"/>
        <w:snapToGrid w:val="0"/>
        <w:ind w:firstLine="480"/>
        <w:rPr>
          <w:rFonts w:ascii="宋体" w:hAnsi="宋体" w:cs="Arial"/>
          <w:bCs/>
          <w:sz w:val="24"/>
        </w:rPr>
      </w:pPr>
      <w:r>
        <w:rPr>
          <w:rFonts w:hint="eastAsia" w:ascii="宋体" w:hAnsi="宋体" w:cs="Arial"/>
          <w:bCs/>
          <w:sz w:val="24"/>
        </w:rPr>
        <w:t>（8）本基金的基金资产总值不得超过基金资产净值的</w:t>
      </w:r>
      <w:r>
        <w:rPr>
          <w:rFonts w:ascii="宋体" w:hAnsi="宋体" w:cs="Arial"/>
          <w:bCs/>
          <w:sz w:val="24"/>
        </w:rPr>
        <w:t>140%</w:t>
      </w:r>
      <w:r>
        <w:rPr>
          <w:rFonts w:hint="eastAsia" w:ascii="宋体" w:hAnsi="宋体" w:cs="Arial"/>
          <w:bCs/>
          <w:sz w:val="24"/>
        </w:rPr>
        <w:t>；</w:t>
      </w:r>
    </w:p>
    <w:p>
      <w:pPr>
        <w:pStyle w:val="60"/>
        <w:adjustRightInd w:val="0"/>
        <w:snapToGrid w:val="0"/>
        <w:ind w:firstLine="480"/>
        <w:rPr>
          <w:rFonts w:ascii="宋体" w:hAnsi="宋体" w:cs="Arial"/>
          <w:bCs/>
          <w:sz w:val="24"/>
        </w:rPr>
      </w:pPr>
      <w:r>
        <w:rPr>
          <w:rFonts w:hint="eastAsia" w:ascii="宋体" w:hAnsi="宋体" w:cs="Arial"/>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hint="eastAsia" w:ascii="宋体" w:hAnsi="宋体" w:cs="Arial"/>
          <w:bCs/>
          <w:sz w:val="24"/>
        </w:rPr>
        <w:t>，国债、中央银行票据、政策性金融债券除外；</w:t>
      </w:r>
    </w:p>
    <w:p>
      <w:pPr>
        <w:pStyle w:val="60"/>
        <w:adjustRightInd w:val="0"/>
        <w:snapToGrid w:val="0"/>
        <w:ind w:firstLine="480"/>
        <w:rPr>
          <w:rFonts w:ascii="宋体" w:hAnsi="宋体" w:cs="Arial"/>
          <w:bCs/>
          <w:sz w:val="24"/>
        </w:rPr>
      </w:pPr>
      <w:r>
        <w:rPr>
          <w:rFonts w:hint="eastAsia" w:ascii="宋体" w:hAnsi="宋体" w:cs="Arial"/>
          <w:bCs/>
          <w:sz w:val="24"/>
        </w:rPr>
        <w:t>（10）现金、国债、中央银行票据、政策性金融债券占基金资产净值的比例合计不得低于</w:t>
      </w:r>
      <w:r>
        <w:rPr>
          <w:rFonts w:ascii="宋体" w:hAnsi="宋体" w:cs="Arial"/>
          <w:bCs/>
          <w:sz w:val="24"/>
        </w:rPr>
        <w:t>5%</w:t>
      </w:r>
      <w:r>
        <w:rPr>
          <w:rFonts w:hint="eastAsia" w:ascii="宋体" w:hAnsi="宋体" w:cs="Arial"/>
          <w:bCs/>
          <w:sz w:val="24"/>
        </w:rPr>
        <w:t>；</w:t>
      </w:r>
    </w:p>
    <w:p>
      <w:pPr>
        <w:pStyle w:val="60"/>
        <w:adjustRightInd w:val="0"/>
        <w:snapToGrid w:val="0"/>
        <w:ind w:firstLine="480"/>
        <w:rPr>
          <w:rFonts w:ascii="宋体" w:hAnsi="宋体" w:cs="Arial"/>
          <w:bCs/>
          <w:sz w:val="24"/>
        </w:rPr>
      </w:pPr>
      <w:r>
        <w:rPr>
          <w:rFonts w:hint="eastAsia" w:ascii="宋体" w:hAnsi="宋体" w:cs="Arial"/>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hint="eastAsia" w:ascii="宋体" w:hAnsi="宋体" w:cs="Arial"/>
          <w:bCs/>
          <w:sz w:val="24"/>
        </w:rPr>
        <w:t>；</w:t>
      </w:r>
    </w:p>
    <w:p>
      <w:pPr>
        <w:pStyle w:val="60"/>
        <w:adjustRightInd w:val="0"/>
        <w:snapToGrid w:val="0"/>
        <w:ind w:firstLine="480"/>
        <w:rPr>
          <w:rFonts w:ascii="宋体" w:hAnsi="宋体" w:cs="Arial"/>
          <w:bCs/>
          <w:sz w:val="24"/>
        </w:rPr>
      </w:pPr>
      <w:r>
        <w:rPr>
          <w:rFonts w:hint="eastAsia" w:ascii="宋体" w:hAnsi="宋体" w:cs="Arial"/>
          <w:bCs/>
          <w:sz w:val="24"/>
        </w:rPr>
        <w:t>（12）到期日在</w:t>
      </w:r>
      <w:r>
        <w:rPr>
          <w:rFonts w:ascii="宋体" w:hAnsi="宋体" w:cs="Arial"/>
          <w:bCs/>
          <w:sz w:val="24"/>
        </w:rPr>
        <w:t xml:space="preserve">10 </w:t>
      </w:r>
      <w:r>
        <w:rPr>
          <w:rFonts w:hint="eastAsia" w:ascii="宋体" w:hAnsi="宋体" w:cs="Arial"/>
          <w:bCs/>
          <w:sz w:val="24"/>
        </w:rPr>
        <w:t>个交易日以上的逆回购、银行定期存款等流动性受限资产投资占基金资产净值的比例合计不得超过</w:t>
      </w:r>
      <w:r>
        <w:rPr>
          <w:rFonts w:ascii="宋体" w:hAnsi="宋体" w:cs="Arial"/>
          <w:bCs/>
          <w:sz w:val="24"/>
        </w:rPr>
        <w:t>30%</w:t>
      </w:r>
      <w:r>
        <w:rPr>
          <w:rFonts w:hint="eastAsia" w:ascii="宋体" w:hAnsi="宋体" w:cs="Arial"/>
          <w:bCs/>
          <w:sz w:val="24"/>
        </w:rPr>
        <w:t>；</w:t>
      </w:r>
    </w:p>
    <w:p>
      <w:pPr>
        <w:pStyle w:val="60"/>
        <w:adjustRightInd w:val="0"/>
        <w:snapToGrid w:val="0"/>
        <w:ind w:firstLine="480"/>
        <w:rPr>
          <w:bCs/>
          <w:sz w:val="24"/>
        </w:rPr>
      </w:pPr>
      <w:r>
        <w:rPr>
          <w:rFonts w:hint="eastAsia" w:ascii="宋体" w:hAnsi="宋体" w:cs="Arial"/>
          <w:bCs/>
          <w:sz w:val="24"/>
        </w:rPr>
        <w:t>（</w:t>
      </w:r>
      <w:r>
        <w:rPr>
          <w:rFonts w:ascii="宋体" w:hAnsi="宋体" w:cs="Arial"/>
          <w:bCs/>
          <w:sz w:val="24"/>
        </w:rPr>
        <w:t>13</w:t>
      </w:r>
      <w:r>
        <w:rPr>
          <w:rFonts w:hint="eastAsia" w:ascii="宋体" w:hAnsi="宋体" w:cs="Arial"/>
          <w:bCs/>
          <w:sz w:val="24"/>
        </w:rPr>
        <w:t>）</w:t>
      </w:r>
      <w:r>
        <w:rPr>
          <w:rFonts w:hint="eastAsia" w:ascii="宋体" w:hAnsi="宋体"/>
          <w:bCs/>
          <w:sz w:val="24"/>
        </w:rPr>
        <w:t>在全国银行间债券市场债券回购的资金余额不得超过基金资产净值的</w:t>
      </w:r>
      <w:r>
        <w:rPr>
          <w:rFonts w:ascii="宋体" w:hAnsi="宋体"/>
          <w:bCs/>
          <w:sz w:val="24"/>
        </w:rPr>
        <w:t>40%</w:t>
      </w:r>
      <w:r>
        <w:rPr>
          <w:rFonts w:hint="eastAsia" w:ascii="宋体" w:hAnsi="宋体"/>
          <w:bCs/>
          <w:sz w:val="24"/>
        </w:rPr>
        <w:t>；</w:t>
      </w:r>
      <w:r>
        <w:rPr>
          <w:rFonts w:hint="eastAsia"/>
          <w:bCs/>
          <w:sz w:val="24"/>
        </w:rPr>
        <w:t>债券回购最长期限为1年，债券回购到期后不得展期；</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14</w:t>
      </w:r>
      <w:r>
        <w:rPr>
          <w:rFonts w:hint="eastAsia" w:ascii="宋体" w:hAnsi="宋体" w:cs="Arial"/>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hint="eastAsia" w:ascii="宋体" w:hAnsi="宋体" w:cs="Arial"/>
          <w:bCs/>
          <w:sz w:val="24"/>
        </w:rPr>
        <w:t>级或相当于</w:t>
      </w:r>
      <w:r>
        <w:rPr>
          <w:rFonts w:ascii="宋体" w:hAnsi="宋体" w:cs="Arial"/>
          <w:bCs/>
          <w:sz w:val="24"/>
        </w:rPr>
        <w:t>AAA</w:t>
      </w:r>
      <w:r>
        <w:rPr>
          <w:rFonts w:hint="eastAsia" w:ascii="宋体" w:hAnsi="宋体" w:cs="Arial"/>
          <w:bCs/>
          <w:sz w:val="24"/>
        </w:rPr>
        <w:t>级的信用级别。本基金持有的资产支持证券信用等级下降、不再符合投资标准的，基金管理人应在评级报告发布之日起</w:t>
      </w:r>
      <w:r>
        <w:rPr>
          <w:rFonts w:ascii="宋体" w:hAnsi="宋体" w:cs="Arial"/>
          <w:bCs/>
          <w:sz w:val="24"/>
        </w:rPr>
        <w:t>3</w:t>
      </w:r>
      <w:r>
        <w:rPr>
          <w:rFonts w:hint="eastAsia" w:ascii="宋体" w:hAnsi="宋体" w:cs="Arial"/>
          <w:bCs/>
          <w:sz w:val="24"/>
        </w:rPr>
        <w:t>个月内对其予以全部卖出。</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15</w:t>
      </w:r>
      <w:r>
        <w:rPr>
          <w:rFonts w:hint="eastAsia" w:ascii="宋体" w:hAnsi="宋体" w:cs="Arial"/>
          <w:bCs/>
          <w:sz w:val="24"/>
        </w:rPr>
        <w:t>）本基金持有的全部资产支持证券，其市值不得超过基金资产净值的</w:t>
      </w:r>
      <w:r>
        <w:rPr>
          <w:rFonts w:ascii="宋体" w:hAnsi="宋体" w:cs="Arial"/>
          <w:bCs/>
          <w:sz w:val="24"/>
        </w:rPr>
        <w:t xml:space="preserve"> 20%</w:t>
      </w:r>
      <w:r>
        <w:rPr>
          <w:rFonts w:hint="eastAsia" w:ascii="宋体" w:hAnsi="宋体" w:cs="Arial"/>
          <w:bCs/>
          <w:sz w:val="24"/>
        </w:rPr>
        <w:t>；本基金持有的同一（指同一信用级别）资产支持证券的比例，不得超过该资产支持证券规模的</w:t>
      </w:r>
      <w:r>
        <w:rPr>
          <w:rFonts w:ascii="宋体" w:hAnsi="宋体" w:cs="Arial"/>
          <w:bCs/>
          <w:sz w:val="24"/>
        </w:rPr>
        <w:t>10%</w:t>
      </w:r>
      <w:r>
        <w:rPr>
          <w:rFonts w:hint="eastAsia" w:ascii="宋体" w:hAnsi="宋体" w:cs="Arial"/>
          <w:bCs/>
          <w:sz w:val="24"/>
        </w:rPr>
        <w:t>；基金投资于同一原始权益人的各类资产支持证券的比例，不得超过基金资产净值的</w:t>
      </w:r>
      <w:r>
        <w:rPr>
          <w:rFonts w:ascii="宋体" w:hAnsi="宋体" w:cs="Arial"/>
          <w:bCs/>
          <w:sz w:val="24"/>
        </w:rPr>
        <w:t xml:space="preserve"> 10%</w:t>
      </w:r>
      <w:r>
        <w:rPr>
          <w:rFonts w:hint="eastAsia" w:ascii="宋体" w:hAnsi="宋体" w:cs="Arial"/>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hint="eastAsia" w:ascii="宋体" w:hAnsi="宋体" w:cs="Arial"/>
          <w:bCs/>
          <w:sz w:val="24"/>
        </w:rPr>
        <w:t>；</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16</w:t>
      </w:r>
      <w:r>
        <w:rPr>
          <w:rFonts w:hint="eastAsia" w:ascii="宋体" w:hAnsi="宋体" w:cs="Arial"/>
          <w:bCs/>
          <w:sz w:val="24"/>
        </w:rPr>
        <w:t>）法律法规及中国证监会规定的和《基金合同》约定的其他投资限制。</w:t>
      </w:r>
    </w:p>
    <w:p>
      <w:pPr>
        <w:pStyle w:val="60"/>
        <w:adjustRightInd w:val="0"/>
        <w:snapToGrid w:val="0"/>
        <w:ind w:firstLine="480"/>
        <w:rPr>
          <w:rFonts w:ascii="宋体" w:hAnsi="宋体" w:cs="Arial"/>
          <w:bCs/>
          <w:sz w:val="24"/>
        </w:rPr>
      </w:pPr>
      <w:r>
        <w:rPr>
          <w:rFonts w:hint="eastAsia" w:ascii="宋体" w:hAnsi="宋体" w:cs="Arial"/>
          <w:bCs/>
          <w:sz w:val="24"/>
        </w:rPr>
        <w:t>除上述第（1）</w:t>
      </w:r>
      <w:r>
        <w:rPr>
          <w:rFonts w:ascii="宋体" w:hAnsi="宋体" w:cs="Arial"/>
          <w:bCs/>
          <w:sz w:val="24"/>
        </w:rPr>
        <w:t>、</w:t>
      </w:r>
      <w:r>
        <w:rPr>
          <w:rFonts w:hint="eastAsia" w:ascii="宋体" w:hAnsi="宋体" w:cs="Arial"/>
          <w:bCs/>
          <w:sz w:val="24"/>
        </w:rPr>
        <w:t>（10）、（14）条外，因基金规模或市场变化导致本基金投资组合不符合以上比例限制的，基金管理人应在</w:t>
      </w:r>
      <w:r>
        <w:rPr>
          <w:rFonts w:ascii="宋体" w:hAnsi="宋体" w:cs="Arial"/>
          <w:bCs/>
          <w:sz w:val="24"/>
        </w:rPr>
        <w:t>10</w:t>
      </w:r>
      <w:r>
        <w:rPr>
          <w:rFonts w:hint="eastAsia" w:ascii="宋体" w:hAnsi="宋体" w:cs="Arial"/>
          <w:bCs/>
          <w:sz w:val="24"/>
        </w:rPr>
        <w:t>个交易日内调整完毕，以达到上述标准，但中国证监会规定的特殊情形除外。法律法规另有规定时，从其规定。</w:t>
      </w:r>
    </w:p>
    <w:p>
      <w:pPr>
        <w:pStyle w:val="60"/>
        <w:adjustRightInd w:val="0"/>
        <w:snapToGrid w:val="0"/>
        <w:ind w:firstLine="480"/>
        <w:rPr>
          <w:rFonts w:ascii="宋体" w:hAnsi="宋体" w:cs="Arial"/>
          <w:bCs/>
          <w:sz w:val="24"/>
        </w:rPr>
      </w:pPr>
      <w:r>
        <w:rPr>
          <w:rFonts w:hint="eastAsia" w:ascii="宋体" w:hAnsi="宋体" w:cs="Arial"/>
          <w:bCs/>
          <w:sz w:val="24"/>
        </w:rPr>
        <w:t>基金管理人应当自基金合同生效日起</w:t>
      </w:r>
      <w:r>
        <w:rPr>
          <w:rFonts w:ascii="宋体" w:hAnsi="宋体" w:cs="Arial"/>
          <w:bCs/>
          <w:sz w:val="24"/>
        </w:rPr>
        <w:t>6</w:t>
      </w:r>
      <w:r>
        <w:rPr>
          <w:rFonts w:hint="eastAsia" w:ascii="宋体" w:hAnsi="宋体" w:cs="Arial"/>
          <w:bCs/>
          <w:sz w:val="24"/>
        </w:rPr>
        <w:t>个月内使基金的投资组合比例符合基金合同的有关约定。期间，基金的投资范围、投资策略应当符合基金合同的约定。基金托管人对基金的投资的监督与检查自基金合同生效之日起开始。</w:t>
      </w:r>
    </w:p>
    <w:p>
      <w:pPr>
        <w:pStyle w:val="60"/>
        <w:adjustRightInd w:val="0"/>
        <w:snapToGrid w:val="0"/>
        <w:ind w:firstLine="480"/>
        <w:rPr>
          <w:rFonts w:ascii="宋体" w:hAnsi="宋体" w:cs="Arial"/>
          <w:bCs/>
          <w:sz w:val="24"/>
        </w:rPr>
      </w:pPr>
      <w:r>
        <w:rPr>
          <w:rFonts w:hint="eastAsia" w:ascii="宋体" w:hAnsi="宋体" w:cs="Arial"/>
          <w:bCs/>
          <w:sz w:val="24"/>
        </w:rPr>
        <w:t>法律法规或监管部门调整上述限制，则本基金投资将按照调整后的规则执行。</w:t>
      </w:r>
    </w:p>
    <w:p>
      <w:pPr>
        <w:pStyle w:val="60"/>
        <w:adjustRightInd w:val="0"/>
        <w:snapToGrid w:val="0"/>
        <w:ind w:firstLine="480"/>
        <w:rPr>
          <w:rFonts w:ascii="宋体" w:hAnsi="宋体" w:cs="Arial"/>
          <w:bCs/>
          <w:sz w:val="24"/>
        </w:rPr>
      </w:pPr>
      <w:r>
        <w:rPr>
          <w:rFonts w:ascii="宋体" w:hAnsi="宋体" w:cs="Arial"/>
          <w:bCs/>
          <w:sz w:val="24"/>
        </w:rPr>
        <w:t>2、禁止行为</w:t>
      </w:r>
    </w:p>
    <w:p>
      <w:pPr>
        <w:pStyle w:val="60"/>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pPr>
        <w:pStyle w:val="60"/>
        <w:adjustRightInd w:val="0"/>
        <w:snapToGrid w:val="0"/>
        <w:ind w:firstLine="480"/>
        <w:rPr>
          <w:rFonts w:ascii="宋体" w:hAnsi="宋体" w:cs="Arial"/>
          <w:bCs/>
          <w:sz w:val="24"/>
        </w:rPr>
      </w:pPr>
      <w:r>
        <w:rPr>
          <w:rFonts w:hint="eastAsia" w:ascii="宋体" w:hAnsi="宋体" w:cs="Arial"/>
          <w:bCs/>
          <w:sz w:val="24"/>
        </w:rPr>
        <w:t>（1）</w:t>
      </w:r>
      <w:r>
        <w:rPr>
          <w:rFonts w:ascii="宋体" w:hAnsi="宋体" w:cs="Arial"/>
          <w:bCs/>
          <w:sz w:val="24"/>
        </w:rPr>
        <w:t>承销证券；</w:t>
      </w:r>
    </w:p>
    <w:p>
      <w:pPr>
        <w:pStyle w:val="60"/>
        <w:adjustRightInd w:val="0"/>
        <w:snapToGrid w:val="0"/>
        <w:ind w:firstLine="480"/>
        <w:rPr>
          <w:rFonts w:ascii="宋体" w:hAnsi="宋体" w:cs="Arial"/>
          <w:bCs/>
          <w:sz w:val="24"/>
        </w:rPr>
      </w:pPr>
      <w:r>
        <w:rPr>
          <w:rFonts w:hint="eastAsia" w:ascii="宋体" w:hAnsi="宋体" w:cs="Arial"/>
          <w:bCs/>
          <w:sz w:val="24"/>
        </w:rPr>
        <w:t>（2）违反规定</w:t>
      </w:r>
      <w:r>
        <w:rPr>
          <w:rFonts w:ascii="宋体" w:hAnsi="宋体" w:cs="Arial"/>
          <w:bCs/>
          <w:sz w:val="24"/>
        </w:rPr>
        <w:t>向他人贷款或者提供担保；</w:t>
      </w:r>
    </w:p>
    <w:p>
      <w:pPr>
        <w:pStyle w:val="60"/>
        <w:adjustRightInd w:val="0"/>
        <w:snapToGrid w:val="0"/>
        <w:ind w:firstLine="480"/>
        <w:rPr>
          <w:rFonts w:ascii="宋体" w:hAnsi="宋体" w:cs="Arial"/>
          <w:bCs/>
          <w:sz w:val="24"/>
        </w:rPr>
      </w:pPr>
      <w:r>
        <w:rPr>
          <w:rFonts w:hint="eastAsia" w:ascii="宋体" w:hAnsi="宋体" w:cs="Arial"/>
          <w:bCs/>
          <w:sz w:val="24"/>
        </w:rPr>
        <w:t>（3）</w:t>
      </w:r>
      <w:r>
        <w:rPr>
          <w:rFonts w:ascii="宋体" w:hAnsi="宋体" w:cs="Arial"/>
          <w:bCs/>
          <w:sz w:val="24"/>
        </w:rPr>
        <w:t>从事承担无限责任的投资；</w:t>
      </w:r>
    </w:p>
    <w:p>
      <w:pPr>
        <w:pStyle w:val="60"/>
        <w:adjustRightInd w:val="0"/>
        <w:snapToGrid w:val="0"/>
        <w:ind w:firstLine="480"/>
        <w:rPr>
          <w:rFonts w:ascii="宋体" w:hAnsi="宋体" w:cs="Arial"/>
          <w:bCs/>
          <w:sz w:val="24"/>
        </w:rPr>
      </w:pPr>
      <w:r>
        <w:rPr>
          <w:rFonts w:hint="eastAsia" w:ascii="宋体" w:hAnsi="宋体" w:cs="Arial"/>
          <w:bCs/>
          <w:sz w:val="24"/>
        </w:rPr>
        <w:t>（4）</w:t>
      </w:r>
      <w:r>
        <w:rPr>
          <w:rFonts w:ascii="宋体" w:hAnsi="宋体" w:cs="Arial"/>
          <w:bCs/>
          <w:sz w:val="24"/>
        </w:rPr>
        <w:t>买卖其他基金份额，但是</w:t>
      </w:r>
      <w:r>
        <w:rPr>
          <w:rFonts w:hint="eastAsia" w:ascii="宋体" w:hAnsi="宋体" w:cs="Arial"/>
          <w:bCs/>
          <w:sz w:val="24"/>
        </w:rPr>
        <w:t>中国证监会</w:t>
      </w:r>
      <w:r>
        <w:rPr>
          <w:rFonts w:ascii="宋体" w:hAnsi="宋体" w:cs="Arial"/>
          <w:bCs/>
          <w:sz w:val="24"/>
        </w:rPr>
        <w:t>另有规定的除外；</w:t>
      </w:r>
    </w:p>
    <w:p>
      <w:pPr>
        <w:pStyle w:val="60"/>
        <w:adjustRightInd w:val="0"/>
        <w:snapToGrid w:val="0"/>
        <w:ind w:firstLine="480"/>
        <w:rPr>
          <w:rFonts w:ascii="宋体" w:hAnsi="宋体" w:cs="Arial"/>
          <w:bCs/>
          <w:sz w:val="24"/>
        </w:rPr>
      </w:pPr>
      <w:r>
        <w:rPr>
          <w:rFonts w:hint="eastAsia" w:ascii="宋体" w:hAnsi="宋体" w:cs="Arial"/>
          <w:bCs/>
          <w:sz w:val="24"/>
        </w:rPr>
        <w:t>（5）</w:t>
      </w:r>
      <w:r>
        <w:rPr>
          <w:rFonts w:ascii="宋体" w:hAnsi="宋体" w:cs="Arial"/>
          <w:bCs/>
          <w:sz w:val="24"/>
        </w:rPr>
        <w:t>向其基金管理人、基金托管人出资；</w:t>
      </w:r>
    </w:p>
    <w:p>
      <w:pPr>
        <w:pStyle w:val="60"/>
        <w:adjustRightInd w:val="0"/>
        <w:snapToGrid w:val="0"/>
        <w:ind w:firstLine="480"/>
        <w:rPr>
          <w:rFonts w:ascii="宋体" w:hAnsi="宋体" w:cs="Arial"/>
          <w:bCs/>
          <w:sz w:val="24"/>
        </w:rPr>
      </w:pPr>
      <w:r>
        <w:rPr>
          <w:rFonts w:hint="eastAsia" w:ascii="宋体" w:hAnsi="宋体" w:cs="Arial"/>
          <w:bCs/>
          <w:sz w:val="24"/>
        </w:rPr>
        <w:t>（6）</w:t>
      </w:r>
      <w:r>
        <w:rPr>
          <w:rFonts w:ascii="宋体" w:hAnsi="宋体" w:cs="Arial"/>
          <w:bCs/>
          <w:sz w:val="24"/>
        </w:rPr>
        <w:t>从事内幕交易、操纵证券交易价格及其他不正当的证券交易活动；</w:t>
      </w:r>
    </w:p>
    <w:p>
      <w:pPr>
        <w:pStyle w:val="60"/>
        <w:adjustRightInd w:val="0"/>
        <w:snapToGrid w:val="0"/>
        <w:ind w:firstLine="480"/>
        <w:rPr>
          <w:rFonts w:ascii="宋体" w:hAnsi="宋体" w:cs="Arial"/>
          <w:bCs/>
          <w:sz w:val="24"/>
        </w:rPr>
      </w:pPr>
      <w:r>
        <w:rPr>
          <w:rFonts w:hint="eastAsia" w:ascii="宋体" w:hAnsi="宋体" w:cs="Arial"/>
          <w:bCs/>
          <w:sz w:val="24"/>
        </w:rPr>
        <w:t>（7）</w:t>
      </w:r>
      <w:r>
        <w:rPr>
          <w:rFonts w:ascii="宋体" w:hAnsi="宋体" w:cs="Arial"/>
          <w:bCs/>
          <w:sz w:val="24"/>
        </w:rPr>
        <w:t>法律</w:t>
      </w:r>
      <w:r>
        <w:rPr>
          <w:rFonts w:hint="eastAsia" w:ascii="宋体" w:hAnsi="宋体" w:cs="Arial"/>
          <w:bCs/>
          <w:sz w:val="24"/>
        </w:rPr>
        <w:t>、行政</w:t>
      </w:r>
      <w:r>
        <w:rPr>
          <w:rFonts w:ascii="宋体" w:hAnsi="宋体" w:cs="Arial"/>
          <w:bCs/>
          <w:sz w:val="24"/>
        </w:rPr>
        <w:t>法规</w:t>
      </w:r>
      <w:r>
        <w:rPr>
          <w:rFonts w:hint="eastAsia" w:ascii="宋体" w:hAnsi="宋体" w:cs="Arial"/>
          <w:bCs/>
          <w:sz w:val="24"/>
        </w:rPr>
        <w:t>和</w:t>
      </w:r>
      <w:r>
        <w:rPr>
          <w:rFonts w:ascii="宋体" w:hAnsi="宋体" w:cs="Arial"/>
          <w:bCs/>
          <w:sz w:val="24"/>
        </w:rPr>
        <w:t>中国证监会规定禁止的其他活动</w:t>
      </w:r>
      <w:r>
        <w:rPr>
          <w:rFonts w:hint="eastAsia" w:ascii="宋体" w:hAnsi="宋体" w:cs="Arial"/>
          <w:bCs/>
          <w:sz w:val="24"/>
        </w:rPr>
        <w:t>。</w:t>
      </w:r>
    </w:p>
    <w:p>
      <w:pPr>
        <w:pStyle w:val="60"/>
        <w:adjustRightInd w:val="0"/>
        <w:snapToGrid w:val="0"/>
        <w:ind w:firstLine="480"/>
        <w:rPr>
          <w:rFonts w:ascii="宋体" w:hAnsi="宋体" w:cs="Arial"/>
          <w:bCs/>
          <w:sz w:val="24"/>
        </w:rPr>
      </w:pPr>
      <w:r>
        <w:rPr>
          <w:rFonts w:hint="eastAsia" w:ascii="宋体" w:hAnsi="宋体" w:cs="Arial"/>
          <w:bCs/>
          <w:sz w:val="24"/>
        </w:rPr>
        <w:t>基金管理人运用基金财产买卖基金管理人、基金托管人及其控股股东、实际控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pPr>
        <w:pStyle w:val="60"/>
        <w:adjustRightInd w:val="0"/>
        <w:snapToGrid w:val="0"/>
        <w:ind w:firstLine="480"/>
        <w:rPr>
          <w:rFonts w:ascii="宋体" w:hAnsi="宋体" w:cs="Arial"/>
          <w:bCs/>
          <w:sz w:val="24"/>
        </w:rPr>
      </w:pPr>
      <w:r>
        <w:rPr>
          <w:rFonts w:hint="eastAsia" w:ascii="宋体" w:hAnsi="宋体" w:cs="Arial"/>
          <w:bCs/>
          <w:sz w:val="24"/>
        </w:rPr>
        <w:t>法律、行政法规或监管部门取消上述限制，如适用于本基金，则本基金投资不再受相关限制。</w:t>
      </w:r>
    </w:p>
    <w:p>
      <w:pPr>
        <w:pStyle w:val="60"/>
        <w:adjustRightInd w:val="0"/>
        <w:snapToGrid w:val="0"/>
        <w:ind w:firstLine="480"/>
        <w:rPr>
          <w:rFonts w:ascii="宋体" w:hAnsi="宋体" w:cs="Arial"/>
          <w:bCs/>
          <w:sz w:val="24"/>
        </w:rPr>
      </w:pPr>
      <w:r>
        <w:rPr>
          <w:rFonts w:hint="eastAsia" w:ascii="宋体" w:hAnsi="宋体" w:cs="Arial"/>
          <w:bCs/>
          <w:sz w:val="24"/>
        </w:rPr>
        <w:t>3、本基金不得投资于以下金融工具：</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1</w:t>
      </w:r>
      <w:r>
        <w:rPr>
          <w:rFonts w:hint="eastAsia" w:ascii="宋体" w:hAnsi="宋体" w:cs="Arial"/>
          <w:bCs/>
          <w:sz w:val="24"/>
        </w:rPr>
        <w:t>）股票和权证；</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2</w:t>
      </w:r>
      <w:r>
        <w:rPr>
          <w:rFonts w:hint="eastAsia" w:ascii="宋体" w:hAnsi="宋体" w:cs="Arial"/>
          <w:bCs/>
          <w:sz w:val="24"/>
        </w:rPr>
        <w:t>）可转换债券、可交换债券；</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3</w:t>
      </w:r>
      <w:r>
        <w:rPr>
          <w:rFonts w:hint="eastAsia" w:ascii="宋体" w:hAnsi="宋体" w:cs="Arial"/>
          <w:bCs/>
          <w:sz w:val="24"/>
        </w:rPr>
        <w:t>）剩余期限超过</w:t>
      </w:r>
      <w:r>
        <w:rPr>
          <w:rFonts w:ascii="宋体" w:hAnsi="宋体" w:cs="Arial"/>
          <w:bCs/>
          <w:sz w:val="24"/>
        </w:rPr>
        <w:t>397</w:t>
      </w:r>
      <w:r>
        <w:rPr>
          <w:rFonts w:hint="eastAsia" w:ascii="宋体" w:hAnsi="宋体" w:cs="Arial"/>
          <w:bCs/>
          <w:sz w:val="24"/>
        </w:rPr>
        <w:t>天的债券、</w:t>
      </w:r>
      <w:r>
        <w:rPr>
          <w:rFonts w:hint="eastAsia"/>
          <w:sz w:val="23"/>
          <w:szCs w:val="23"/>
        </w:rPr>
        <w:t>资产支持证券、非金融企业债务融资工具</w:t>
      </w:r>
      <w:r>
        <w:rPr>
          <w:rFonts w:hint="eastAsia" w:ascii="宋体" w:hAnsi="宋体" w:cs="Arial"/>
          <w:bCs/>
          <w:sz w:val="24"/>
        </w:rPr>
        <w:t>；</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4</w:t>
      </w:r>
      <w:r>
        <w:rPr>
          <w:rFonts w:hint="eastAsia" w:ascii="宋体" w:hAnsi="宋体" w:cs="Arial"/>
          <w:bCs/>
          <w:sz w:val="24"/>
        </w:rPr>
        <w:t>）信用等级在</w:t>
      </w:r>
      <w:r>
        <w:rPr>
          <w:rFonts w:ascii="宋体" w:hAnsi="宋体" w:cs="Arial"/>
          <w:bCs/>
          <w:sz w:val="24"/>
        </w:rPr>
        <w:t>AA+</w:t>
      </w:r>
      <w:r>
        <w:rPr>
          <w:rFonts w:hint="eastAsia" w:ascii="宋体" w:hAnsi="宋体" w:cs="Arial"/>
          <w:bCs/>
          <w:sz w:val="24"/>
        </w:rPr>
        <w:t>级以下的债券与非金融企业债务融资工具；</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5</w:t>
      </w:r>
      <w:r>
        <w:rPr>
          <w:rFonts w:hint="eastAsia" w:ascii="宋体" w:hAnsi="宋体" w:cs="Arial"/>
          <w:bCs/>
          <w:sz w:val="24"/>
        </w:rPr>
        <w:t>）以定期存款利率为基准利率的浮动利率债券，已进入最后一个利率调整期的除外；</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6</w:t>
      </w:r>
      <w:r>
        <w:rPr>
          <w:rFonts w:hint="eastAsia" w:ascii="宋体" w:hAnsi="宋体" w:cs="Arial"/>
          <w:bCs/>
          <w:sz w:val="24"/>
        </w:rPr>
        <w:t>）非在全国银行间债券交易市场或证券交易所交易的资产支持证券；</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7</w:t>
      </w:r>
      <w:r>
        <w:rPr>
          <w:rFonts w:hint="eastAsia" w:ascii="宋体" w:hAnsi="宋体" w:cs="Arial"/>
          <w:bCs/>
          <w:sz w:val="24"/>
        </w:rPr>
        <w:t>）流通受限证券；</w:t>
      </w:r>
    </w:p>
    <w:p>
      <w:pPr>
        <w:pStyle w:val="60"/>
        <w:adjustRightInd w:val="0"/>
        <w:snapToGrid w:val="0"/>
        <w:ind w:firstLine="480"/>
        <w:rPr>
          <w:rFonts w:ascii="宋体" w:hAnsi="宋体" w:cs="Arial"/>
          <w:bCs/>
          <w:sz w:val="24"/>
        </w:rPr>
      </w:pPr>
      <w:r>
        <w:rPr>
          <w:rFonts w:hint="eastAsia" w:ascii="宋体" w:hAnsi="宋体" w:cs="Arial"/>
          <w:bCs/>
          <w:sz w:val="24"/>
        </w:rPr>
        <w:t>（</w:t>
      </w:r>
      <w:r>
        <w:rPr>
          <w:rFonts w:ascii="宋体" w:hAnsi="宋体" w:cs="Arial"/>
          <w:bCs/>
          <w:sz w:val="24"/>
        </w:rPr>
        <w:t>8</w:t>
      </w:r>
      <w:r>
        <w:rPr>
          <w:rFonts w:hint="eastAsia" w:ascii="宋体" w:hAnsi="宋体" w:cs="Arial"/>
          <w:bCs/>
          <w:sz w:val="24"/>
        </w:rPr>
        <w:t>）中国证监会、中国人民银行禁止投资的其他金融工具。</w:t>
      </w:r>
    </w:p>
    <w:p>
      <w:pPr>
        <w:spacing w:line="360" w:lineRule="auto"/>
        <w:rPr>
          <w:rFonts w:ascii="华文细黑" w:hAnsi="华文细黑" w:eastAsia="华文细黑"/>
          <w:sz w:val="24"/>
        </w:rPr>
      </w:pPr>
      <w:r>
        <w:rPr>
          <w:rFonts w:hint="eastAsia" w:ascii="宋体" w:hAnsi="宋体" w:cs="Arial"/>
          <w:bCs/>
          <w:sz w:val="24"/>
        </w:rPr>
        <w:t>如果法律法规或监管部门取消上述限制，则本基金投资不再受相关限制。</w:t>
      </w:r>
      <w:bookmarkEnd w:id="71"/>
    </w:p>
    <w:p>
      <w:pPr>
        <w:spacing w:line="360" w:lineRule="auto"/>
        <w:ind w:firstLine="424" w:firstLineChars="177"/>
        <w:rPr>
          <w:rFonts w:ascii="宋体" w:hAnsi="宋体"/>
          <w:sz w:val="24"/>
        </w:rPr>
      </w:pPr>
      <w:r>
        <w:rPr>
          <w:rFonts w:hint="eastAsia" w:ascii="宋体" w:hAnsi="宋体"/>
          <w:color w:val="000000"/>
          <w:kern w:val="0"/>
          <w:sz w:val="24"/>
        </w:rPr>
        <w:t>（五）业绩比</w:t>
      </w:r>
      <w:r>
        <w:rPr>
          <w:rFonts w:hint="eastAsia" w:ascii="宋体" w:hAnsi="宋体"/>
          <w:sz w:val="24"/>
        </w:rPr>
        <w:t>较基准</w:t>
      </w:r>
    </w:p>
    <w:p>
      <w:pPr>
        <w:spacing w:line="360" w:lineRule="auto"/>
        <w:ind w:firstLine="424" w:firstLineChars="177"/>
        <w:rPr>
          <w:rFonts w:ascii="宋体" w:hAnsi="宋体"/>
          <w:sz w:val="24"/>
        </w:rPr>
      </w:pPr>
      <w:r>
        <w:rPr>
          <w:rFonts w:hint="eastAsia" w:ascii="宋体" w:hAnsi="宋体"/>
          <w:sz w:val="24"/>
        </w:rPr>
        <w:t>本基金的业绩比较基准为：活期存款利率（税后）</w:t>
      </w:r>
    </w:p>
    <w:p>
      <w:pPr>
        <w:spacing w:line="360" w:lineRule="auto"/>
        <w:ind w:firstLine="424" w:firstLineChars="177"/>
        <w:rPr>
          <w:rFonts w:ascii="宋体" w:hAnsi="宋体"/>
          <w:sz w:val="24"/>
        </w:rPr>
      </w:pPr>
      <w:r>
        <w:rPr>
          <w:rFonts w:hint="eastAsia" w:ascii="宋体" w:hAnsi="宋体"/>
          <w:sz w:val="24"/>
        </w:rPr>
        <w:t>本基金为货币市场基金，具有低风险、高流动性的特征。基于本基金的投资范围和投资比例限制，选用上述业绩比较基准能够忠实反映本基金的风险收益特征。</w:t>
      </w:r>
    </w:p>
    <w:p>
      <w:pPr>
        <w:spacing w:line="360" w:lineRule="auto"/>
        <w:ind w:firstLine="424" w:firstLineChars="177"/>
        <w:rPr>
          <w:rFonts w:ascii="宋体" w:hAnsi="宋体"/>
          <w:sz w:val="24"/>
        </w:rPr>
      </w:pPr>
      <w:r>
        <w:rPr>
          <w:rFonts w:hint="eastAsia" w:ascii="宋体" w:hAnsi="宋体"/>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pPr>
        <w:spacing w:line="360" w:lineRule="auto"/>
        <w:ind w:firstLine="424" w:firstLineChars="177"/>
        <w:rPr>
          <w:rFonts w:ascii="宋体" w:hAnsi="宋体"/>
          <w:sz w:val="24"/>
        </w:rPr>
      </w:pPr>
      <w:r>
        <w:rPr>
          <w:rFonts w:hint="eastAsia" w:ascii="宋体" w:hAnsi="宋体"/>
          <w:sz w:val="24"/>
        </w:rPr>
        <w:t>（六）风险收益特征</w:t>
      </w:r>
    </w:p>
    <w:p>
      <w:pPr>
        <w:spacing w:line="360" w:lineRule="auto"/>
        <w:ind w:firstLine="424" w:firstLineChars="177"/>
        <w:rPr>
          <w:rFonts w:ascii="宋体" w:hAnsi="宋体"/>
          <w:sz w:val="24"/>
        </w:rPr>
      </w:pPr>
      <w:r>
        <w:rPr>
          <w:rFonts w:hint="eastAsia" w:ascii="宋体" w:hAnsi="宋体"/>
          <w:sz w:val="24"/>
        </w:rPr>
        <w:t>本基金为货币市场基金，属于证券投资基金中的低风险品种，其预期收益和预期风险均低于债券型基金、混合型基金及股票型基金。</w:t>
      </w:r>
      <w:bookmarkStart w:id="72" w:name="_Hlt88821694"/>
      <w:bookmarkEnd w:id="72"/>
      <w:bookmarkStart w:id="73" w:name="_Hlt81032199"/>
      <w:bookmarkEnd w:id="73"/>
      <w:bookmarkStart w:id="74" w:name="_Toc256666799"/>
      <w:bookmarkStart w:id="75" w:name="_Toc256666919"/>
    </w:p>
    <w:p>
      <w:pPr>
        <w:spacing w:line="360" w:lineRule="auto"/>
        <w:ind w:firstLine="424" w:firstLineChars="177"/>
        <w:rPr>
          <w:rFonts w:ascii="宋体" w:hAnsi="宋体"/>
          <w:bCs/>
          <w:sz w:val="24"/>
        </w:rPr>
      </w:pPr>
      <w:r>
        <w:rPr>
          <w:rFonts w:hint="eastAsia" w:ascii="宋体" w:hAnsi="宋体"/>
          <w:sz w:val="24"/>
        </w:rPr>
        <w:t>（七）</w:t>
      </w:r>
      <w:r>
        <w:rPr>
          <w:rFonts w:ascii="宋体" w:hAnsi="宋体"/>
          <w:bCs/>
          <w:sz w:val="24"/>
        </w:rPr>
        <w:t>投资组合平均剩余期限</w:t>
      </w:r>
      <w:r>
        <w:rPr>
          <w:rFonts w:hint="eastAsia" w:ascii="宋体" w:hAnsi="宋体"/>
          <w:bCs/>
          <w:sz w:val="24"/>
        </w:rPr>
        <w:t>和平均剩余存续期限</w:t>
      </w:r>
      <w:r>
        <w:rPr>
          <w:rFonts w:ascii="宋体" w:hAnsi="宋体"/>
          <w:bCs/>
          <w:sz w:val="24"/>
        </w:rPr>
        <w:t>的计算方法</w:t>
      </w:r>
    </w:p>
    <w:p>
      <w:pPr>
        <w:autoSpaceDE w:val="0"/>
        <w:autoSpaceDN w:val="0"/>
        <w:adjustRightInd w:val="0"/>
        <w:spacing w:line="360" w:lineRule="auto"/>
        <w:ind w:firstLine="424" w:firstLineChars="177"/>
        <w:jc w:val="left"/>
        <w:rPr>
          <w:rFonts w:ascii="宋体" w:hAnsi="宋体"/>
          <w:bCs/>
          <w:sz w:val="24"/>
        </w:rPr>
      </w:pPr>
      <w:r>
        <w:rPr>
          <w:rFonts w:ascii="宋体" w:hAnsi="宋体"/>
          <w:bCs/>
          <w:sz w:val="24"/>
        </w:rPr>
        <w:t>1</w:t>
      </w:r>
      <w:r>
        <w:rPr>
          <w:rFonts w:hint="eastAsia" w:ascii="宋体" w:hAnsi="宋体"/>
          <w:bCs/>
          <w:sz w:val="24"/>
        </w:rPr>
        <w:t>、计算公式</w:t>
      </w:r>
    </w:p>
    <w:p>
      <w:pPr>
        <w:autoSpaceDE w:val="0"/>
        <w:autoSpaceDN w:val="0"/>
        <w:adjustRightInd w:val="0"/>
        <w:spacing w:line="360" w:lineRule="auto"/>
        <w:ind w:firstLine="424" w:firstLineChars="177"/>
        <w:jc w:val="left"/>
        <w:rPr>
          <w:rFonts w:ascii="宋体" w:hAnsi="宋体"/>
          <w:bCs/>
          <w:sz w:val="24"/>
        </w:rPr>
      </w:pPr>
      <w:r>
        <w:rPr>
          <w:rFonts w:hint="eastAsia" w:ascii="宋体" w:hAnsi="宋体"/>
          <w:bCs/>
          <w:sz w:val="24"/>
        </w:rPr>
        <w:t>本基金按下列公式计算平均剩余期限：</w:t>
      </w:r>
    </w:p>
    <w:p>
      <w:pPr>
        <w:autoSpaceDE w:val="0"/>
        <w:autoSpaceDN w:val="0"/>
        <w:adjustRightInd w:val="0"/>
        <w:spacing w:line="360" w:lineRule="auto"/>
        <w:ind w:firstLine="424" w:firstLineChars="177"/>
        <w:jc w:val="left"/>
        <w:rPr>
          <w:rFonts w:ascii="宋体" w:hAnsi="宋体"/>
          <w:bCs/>
          <w:sz w:val="24"/>
        </w:rPr>
      </w:pPr>
      <w:r>
        <w:rPr>
          <w:rFonts w:hint="eastAsia" w:ascii="宋体" w:hAnsi="宋体"/>
          <w:bCs/>
          <w:sz w:val="24"/>
        </w:rPr>
        <w:t>（</w:t>
      </w:r>
      <w:r>
        <w:rPr>
          <w:rFonts w:ascii="宋体" w:hAnsi="宋体"/>
          <w:bCs/>
          <w:sz w:val="24"/>
        </w:rPr>
        <w:t>Σ</w:t>
      </w:r>
      <w:r>
        <w:rPr>
          <w:rFonts w:hint="eastAsia" w:ascii="宋体" w:hAnsi="宋体"/>
          <w:bCs/>
          <w:sz w:val="24"/>
        </w:rPr>
        <w:t>投资于金融工具产生的资产</w:t>
      </w:r>
      <w:r>
        <w:rPr>
          <w:rFonts w:ascii="宋体" w:hAnsi="宋体"/>
          <w:bCs/>
          <w:sz w:val="24"/>
        </w:rPr>
        <w:t>×</w:t>
      </w:r>
      <w:r>
        <w:rPr>
          <w:rFonts w:hint="eastAsia" w:ascii="宋体" w:hAnsi="宋体"/>
          <w:bCs/>
          <w:sz w:val="24"/>
        </w:rPr>
        <w:t>剩余期限</w:t>
      </w:r>
      <w:r>
        <w:rPr>
          <w:rFonts w:ascii="宋体" w:hAnsi="宋体"/>
          <w:bCs/>
          <w:sz w:val="24"/>
        </w:rPr>
        <w:t>-Σ</w:t>
      </w:r>
      <w:r>
        <w:rPr>
          <w:rFonts w:hint="eastAsia" w:ascii="宋体" w:hAnsi="宋体"/>
          <w:bCs/>
          <w:sz w:val="24"/>
        </w:rPr>
        <w:t>投资于金融工具产生的负债</w:t>
      </w:r>
      <w:r>
        <w:rPr>
          <w:rFonts w:ascii="宋体" w:hAnsi="宋体"/>
          <w:bCs/>
          <w:sz w:val="24"/>
        </w:rPr>
        <w:t>×</w:t>
      </w:r>
      <w:r>
        <w:rPr>
          <w:rFonts w:hint="eastAsia" w:ascii="宋体" w:hAnsi="宋体"/>
          <w:bCs/>
          <w:sz w:val="24"/>
        </w:rPr>
        <w:t>剩余期限＋</w:t>
      </w:r>
      <w:r>
        <w:rPr>
          <w:rFonts w:ascii="宋体" w:hAnsi="宋体"/>
          <w:bCs/>
          <w:sz w:val="24"/>
        </w:rPr>
        <w:t>Σ</w:t>
      </w:r>
      <w:r>
        <w:rPr>
          <w:rFonts w:hint="eastAsia" w:ascii="宋体" w:hAnsi="宋体"/>
          <w:bCs/>
          <w:sz w:val="24"/>
        </w:rPr>
        <w:t>债券正回购</w:t>
      </w:r>
      <w:r>
        <w:rPr>
          <w:rFonts w:ascii="宋体" w:hAnsi="宋体"/>
          <w:bCs/>
          <w:sz w:val="24"/>
        </w:rPr>
        <w:t>×</w:t>
      </w:r>
      <w:r>
        <w:rPr>
          <w:rFonts w:hint="eastAsia" w:ascii="宋体" w:hAnsi="宋体"/>
          <w:bCs/>
          <w:sz w:val="24"/>
        </w:rPr>
        <w:t>剩余期限）</w:t>
      </w:r>
      <w:r>
        <w:rPr>
          <w:rFonts w:ascii="宋体" w:hAnsi="宋体"/>
          <w:bCs/>
          <w:sz w:val="24"/>
        </w:rPr>
        <w:t>/</w:t>
      </w:r>
      <w:r>
        <w:rPr>
          <w:rFonts w:hint="eastAsia" w:ascii="宋体" w:hAnsi="宋体"/>
          <w:bCs/>
          <w:sz w:val="24"/>
        </w:rPr>
        <w:t>（投资于金融工具产生的资产</w:t>
      </w:r>
      <w:r>
        <w:rPr>
          <w:rFonts w:ascii="宋体" w:hAnsi="宋体"/>
          <w:bCs/>
          <w:sz w:val="24"/>
        </w:rPr>
        <w:t>-</w:t>
      </w:r>
      <w:r>
        <w:rPr>
          <w:rFonts w:hint="eastAsia" w:ascii="宋体" w:hAnsi="宋体"/>
          <w:bCs/>
          <w:sz w:val="24"/>
        </w:rPr>
        <w:t>投资于金融工具产生的负债＋债券正回购）</w:t>
      </w:r>
    </w:p>
    <w:p>
      <w:pPr>
        <w:autoSpaceDE w:val="0"/>
        <w:autoSpaceDN w:val="0"/>
        <w:adjustRightInd w:val="0"/>
        <w:spacing w:line="360" w:lineRule="auto"/>
        <w:ind w:firstLine="424" w:firstLineChars="177"/>
        <w:jc w:val="left"/>
        <w:rPr>
          <w:rFonts w:ascii="宋体" w:hAnsi="宋体"/>
          <w:bCs/>
          <w:sz w:val="24"/>
        </w:rPr>
      </w:pPr>
      <w:r>
        <w:rPr>
          <w:rFonts w:hint="eastAsia" w:ascii="宋体" w:hAnsi="宋体"/>
          <w:bCs/>
          <w:sz w:val="24"/>
        </w:rPr>
        <w:t>本基金按下列公式计算平均剩余存续期限：</w:t>
      </w:r>
    </w:p>
    <w:p>
      <w:pPr>
        <w:autoSpaceDE w:val="0"/>
        <w:autoSpaceDN w:val="0"/>
        <w:adjustRightInd w:val="0"/>
        <w:spacing w:line="360" w:lineRule="auto"/>
        <w:ind w:firstLine="424" w:firstLineChars="177"/>
        <w:jc w:val="left"/>
        <w:rPr>
          <w:rFonts w:ascii="宋体" w:hAnsi="宋体"/>
          <w:bCs/>
          <w:sz w:val="24"/>
        </w:rPr>
      </w:pPr>
      <w:r>
        <w:rPr>
          <w:rFonts w:hint="eastAsia" w:ascii="宋体" w:hAnsi="宋体"/>
          <w:bCs/>
          <w:sz w:val="24"/>
        </w:rPr>
        <w:t>（</w:t>
      </w:r>
      <w:r>
        <w:rPr>
          <w:rFonts w:ascii="宋体" w:hAnsi="宋体"/>
          <w:bCs/>
          <w:sz w:val="24"/>
        </w:rPr>
        <w:t>Σ</w:t>
      </w:r>
      <w:r>
        <w:rPr>
          <w:rFonts w:hint="eastAsia" w:ascii="宋体" w:hAnsi="宋体"/>
          <w:bCs/>
          <w:sz w:val="24"/>
        </w:rPr>
        <w:t>投资于金融工具产生的资产</w:t>
      </w:r>
      <w:r>
        <w:rPr>
          <w:rFonts w:ascii="宋体" w:hAnsi="宋体"/>
          <w:bCs/>
          <w:sz w:val="24"/>
        </w:rPr>
        <w:t>×</w:t>
      </w:r>
      <w:r>
        <w:rPr>
          <w:rFonts w:hint="eastAsia" w:ascii="宋体" w:hAnsi="宋体"/>
          <w:bCs/>
          <w:sz w:val="24"/>
        </w:rPr>
        <w:t>剩余存续期限</w:t>
      </w:r>
      <w:r>
        <w:rPr>
          <w:rFonts w:ascii="宋体" w:hAnsi="宋体"/>
          <w:bCs/>
          <w:sz w:val="24"/>
        </w:rPr>
        <w:t>−Σ</w:t>
      </w:r>
      <w:r>
        <w:rPr>
          <w:rFonts w:hint="eastAsia" w:ascii="宋体" w:hAnsi="宋体"/>
          <w:bCs/>
          <w:sz w:val="24"/>
        </w:rPr>
        <w:t>投资于金融工具产生的负债</w:t>
      </w:r>
      <w:r>
        <w:rPr>
          <w:rFonts w:ascii="宋体" w:hAnsi="宋体"/>
          <w:bCs/>
          <w:sz w:val="24"/>
        </w:rPr>
        <w:t>×</w:t>
      </w:r>
      <w:r>
        <w:rPr>
          <w:rFonts w:hint="eastAsia" w:ascii="宋体" w:hAnsi="宋体"/>
          <w:bCs/>
          <w:sz w:val="24"/>
        </w:rPr>
        <w:t>剩余存续期限+债券正回购</w:t>
      </w:r>
      <w:r>
        <w:rPr>
          <w:rFonts w:ascii="宋体" w:hAnsi="宋体"/>
          <w:bCs/>
          <w:sz w:val="24"/>
        </w:rPr>
        <w:t>×</w:t>
      </w:r>
      <w:r>
        <w:rPr>
          <w:rFonts w:hint="eastAsia" w:ascii="宋体" w:hAnsi="宋体"/>
          <w:bCs/>
          <w:sz w:val="24"/>
        </w:rPr>
        <w:t>剩余存续期限）/(投资于金融工具产生的资产</w:t>
      </w:r>
      <w:r>
        <w:rPr>
          <w:rFonts w:ascii="宋体" w:hAnsi="宋体"/>
          <w:bCs/>
          <w:sz w:val="24"/>
        </w:rPr>
        <w:t>−</w:t>
      </w:r>
      <w:r>
        <w:rPr>
          <w:rFonts w:hint="eastAsia" w:ascii="宋体" w:hAnsi="宋体"/>
          <w:bCs/>
          <w:sz w:val="24"/>
        </w:rPr>
        <w:t>投资于金融工具产生的负债+债券正回购)</w:t>
      </w:r>
    </w:p>
    <w:p>
      <w:pPr>
        <w:autoSpaceDE w:val="0"/>
        <w:autoSpaceDN w:val="0"/>
        <w:adjustRightInd w:val="0"/>
        <w:spacing w:line="360" w:lineRule="auto"/>
        <w:ind w:firstLine="424" w:firstLineChars="177"/>
        <w:jc w:val="left"/>
        <w:rPr>
          <w:rFonts w:ascii="宋体" w:hAnsi="宋体"/>
          <w:bCs/>
          <w:sz w:val="24"/>
        </w:rPr>
      </w:pPr>
      <w:r>
        <w:rPr>
          <w:rFonts w:hint="eastAsia" w:ascii="宋体" w:hAnsi="宋体"/>
          <w:bCs/>
          <w:sz w:val="24"/>
        </w:rPr>
        <w:t>其中：投资于金融工具产生的资产包括现金类资产</w:t>
      </w:r>
      <w:r>
        <w:rPr>
          <w:rFonts w:ascii="宋体" w:hAnsi="宋体"/>
          <w:bCs/>
          <w:sz w:val="24"/>
        </w:rPr>
        <w:t>(</w:t>
      </w:r>
      <w:r>
        <w:rPr>
          <w:rFonts w:hint="eastAsia" w:ascii="宋体" w:hAnsi="宋体"/>
          <w:bCs/>
          <w:sz w:val="24"/>
        </w:rPr>
        <w:t>含银行存款、清算备付金、交易保证金、证券清算款、买断式回购履约金</w:t>
      </w:r>
      <w:r>
        <w:rPr>
          <w:rFonts w:ascii="宋体" w:hAnsi="宋体"/>
          <w:bCs/>
          <w:sz w:val="24"/>
        </w:rPr>
        <w:t>)</w:t>
      </w:r>
      <w:r>
        <w:rPr>
          <w:rFonts w:hint="eastAsia" w:ascii="宋体" w:hAnsi="宋体"/>
          <w:bCs/>
          <w:sz w:val="24"/>
        </w:rPr>
        <w:t>、银行定期存款、同业存单、债券、逆回购、中央银行票据、买断式回购产生的待回购债券、中国证监会允许投资的其他固定收益类金融工具。</w:t>
      </w:r>
    </w:p>
    <w:p>
      <w:pPr>
        <w:autoSpaceDE w:val="0"/>
        <w:autoSpaceDN w:val="0"/>
        <w:adjustRightInd w:val="0"/>
        <w:spacing w:line="360" w:lineRule="auto"/>
        <w:ind w:firstLine="424" w:firstLineChars="177"/>
        <w:jc w:val="left"/>
        <w:rPr>
          <w:rFonts w:ascii="宋体" w:hAnsi="宋体"/>
          <w:bCs/>
          <w:sz w:val="24"/>
        </w:rPr>
      </w:pPr>
      <w:r>
        <w:rPr>
          <w:rFonts w:hint="eastAsia" w:ascii="宋体" w:hAnsi="宋体"/>
          <w:bCs/>
          <w:sz w:val="24"/>
        </w:rPr>
        <w:t>投资于金融工具产生的负债包括正回购、买断式回购产生的待返售债券等。</w:t>
      </w:r>
    </w:p>
    <w:p>
      <w:pPr>
        <w:autoSpaceDE w:val="0"/>
        <w:autoSpaceDN w:val="0"/>
        <w:adjustRightInd w:val="0"/>
        <w:spacing w:line="360" w:lineRule="auto"/>
        <w:ind w:firstLine="424" w:firstLineChars="177"/>
        <w:jc w:val="left"/>
        <w:rPr>
          <w:rFonts w:ascii="宋体" w:hAnsi="宋体"/>
          <w:bCs/>
          <w:sz w:val="24"/>
        </w:rPr>
      </w:pPr>
      <w:r>
        <w:rPr>
          <w:rFonts w:ascii="宋体" w:hAnsi="宋体"/>
          <w:bCs/>
          <w:sz w:val="24"/>
        </w:rPr>
        <w:t>2</w:t>
      </w:r>
      <w:r>
        <w:rPr>
          <w:rFonts w:hint="eastAsia" w:ascii="宋体" w:hAnsi="宋体"/>
          <w:bCs/>
          <w:sz w:val="24"/>
        </w:rPr>
        <w:t>、各类资产及负债剩余期限和剩余存续期限的确定方法</w:t>
      </w:r>
    </w:p>
    <w:p>
      <w:pPr>
        <w:autoSpaceDE w:val="0"/>
        <w:autoSpaceDN w:val="0"/>
        <w:adjustRightInd w:val="0"/>
        <w:spacing w:line="360" w:lineRule="auto"/>
        <w:ind w:firstLine="424" w:firstLineChars="177"/>
        <w:jc w:val="left"/>
        <w:rPr>
          <w:rFonts w:ascii="宋体" w:hAnsi="宋体"/>
          <w:bCs/>
          <w:sz w:val="24"/>
        </w:rPr>
      </w:pPr>
      <w:r>
        <w:rPr>
          <w:rFonts w:hint="eastAsia" w:ascii="宋体" w:hAnsi="宋体"/>
          <w:bCs/>
          <w:sz w:val="24"/>
        </w:rPr>
        <w:t>（1）银行活期存款、清算备付金、交易保证金的剩余期限和剩余存续期限为0天；证券清算款的剩余期限和剩余存续期限以计算日至交收日的剩余交易日天数计算；</w:t>
      </w:r>
    </w:p>
    <w:p>
      <w:pPr>
        <w:autoSpaceDE w:val="0"/>
        <w:autoSpaceDN w:val="0"/>
        <w:adjustRightInd w:val="0"/>
        <w:spacing w:line="360" w:lineRule="auto"/>
        <w:ind w:firstLine="424" w:firstLineChars="177"/>
        <w:jc w:val="left"/>
        <w:rPr>
          <w:rFonts w:ascii="宋体" w:hAnsi="宋体"/>
          <w:bCs/>
          <w:sz w:val="24"/>
        </w:rPr>
      </w:pPr>
      <w:r>
        <w:rPr>
          <w:rFonts w:hint="eastAsia" w:ascii="宋体" w:hAnsi="宋体"/>
          <w:bCs/>
          <w:sz w:val="24"/>
        </w:rPr>
        <w:t>（2）回购（包括正回购和逆回购）的剩余期限和剩余存续期限以计算日至回购协议到期日的实际剩余天数计算；买断式回购产生的待回购债券的剩余期限和剩余存续期限为该基础债券的剩余期限，待返售债券的剩余期限和剩余存续期限以计算日至回购协议到期日的实际剩余天数计算；</w:t>
      </w:r>
    </w:p>
    <w:p>
      <w:pPr>
        <w:autoSpaceDE w:val="0"/>
        <w:autoSpaceDN w:val="0"/>
        <w:adjustRightInd w:val="0"/>
        <w:spacing w:line="360" w:lineRule="auto"/>
        <w:ind w:firstLine="424" w:firstLineChars="177"/>
        <w:jc w:val="left"/>
        <w:rPr>
          <w:rFonts w:ascii="宋体" w:hAnsi="宋体"/>
          <w:bCs/>
          <w:sz w:val="24"/>
        </w:rPr>
      </w:pPr>
      <w:r>
        <w:rPr>
          <w:rFonts w:hint="eastAsia" w:ascii="宋体" w:hAnsi="宋体"/>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pPr>
        <w:autoSpaceDE w:val="0"/>
        <w:autoSpaceDN w:val="0"/>
        <w:adjustRightInd w:val="0"/>
        <w:spacing w:line="360" w:lineRule="auto"/>
        <w:ind w:firstLine="424" w:firstLineChars="177"/>
        <w:jc w:val="left"/>
        <w:rPr>
          <w:rFonts w:ascii="宋体" w:hAnsi="宋体"/>
          <w:bCs/>
          <w:sz w:val="24"/>
        </w:rPr>
      </w:pPr>
      <w:r>
        <w:rPr>
          <w:rFonts w:hint="eastAsia" w:ascii="宋体" w:hAnsi="宋体"/>
          <w:bCs/>
          <w:sz w:val="24"/>
        </w:rPr>
        <w:t>（4）中央银行票据的剩余期限和剩余存续期限以计算日至中央银行票据到期日的实际剩余天数计算；</w:t>
      </w:r>
    </w:p>
    <w:p>
      <w:pPr>
        <w:autoSpaceDE w:val="0"/>
        <w:autoSpaceDN w:val="0"/>
        <w:adjustRightInd w:val="0"/>
        <w:spacing w:line="360" w:lineRule="auto"/>
        <w:ind w:firstLine="424" w:firstLineChars="177"/>
        <w:jc w:val="left"/>
        <w:rPr>
          <w:rFonts w:ascii="宋体" w:hAnsi="宋体"/>
          <w:bCs/>
          <w:sz w:val="24"/>
        </w:rPr>
      </w:pPr>
      <w:r>
        <w:rPr>
          <w:rFonts w:hint="eastAsia" w:ascii="宋体" w:hAnsi="宋体"/>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pPr>
        <w:autoSpaceDE w:val="0"/>
        <w:autoSpaceDN w:val="0"/>
        <w:adjustRightInd w:val="0"/>
        <w:spacing w:line="360" w:lineRule="auto"/>
        <w:ind w:firstLine="424" w:firstLineChars="177"/>
        <w:jc w:val="left"/>
        <w:rPr>
          <w:rFonts w:ascii="宋体" w:hAnsi="宋体"/>
          <w:bCs/>
          <w:sz w:val="24"/>
        </w:rPr>
      </w:pPr>
      <w:r>
        <w:rPr>
          <w:rFonts w:hint="eastAsia" w:ascii="宋体" w:hAnsi="宋体"/>
          <w:bCs/>
          <w:sz w:val="24"/>
        </w:rPr>
        <w:t>（6）对其它金融工具，本基金管理人将基于审慎原则，根据法律法规或中国证监会的规定或参照行业内的方法计算其剩余期限和剩余存续期限。</w:t>
      </w:r>
    </w:p>
    <w:p>
      <w:pPr>
        <w:spacing w:line="360" w:lineRule="auto"/>
        <w:ind w:firstLine="424" w:firstLineChars="177"/>
        <w:rPr>
          <w:rFonts w:ascii="宋体" w:hAnsi="宋体"/>
          <w:bCs/>
          <w:sz w:val="24"/>
        </w:rPr>
      </w:pPr>
      <w:r>
        <w:rPr>
          <w:rFonts w:hint="eastAsia" w:ascii="宋体" w:hAnsi="宋体"/>
          <w:bCs/>
          <w:sz w:val="24"/>
        </w:rPr>
        <w:t>平均剩余期限和平均剩余存续期限的计算结果保留至整数位，小数点后四舍五入。如法律法规或中国证监会对剩余期限和剩余存续期限计算方法另有规定的从其规定。</w:t>
      </w:r>
    </w:p>
    <w:p>
      <w:pPr>
        <w:spacing w:line="360" w:lineRule="auto"/>
        <w:ind w:firstLine="424" w:firstLineChars="177"/>
        <w:rPr>
          <w:rFonts w:ascii="宋体" w:hAnsi="宋体"/>
          <w:bCs/>
          <w:sz w:val="24"/>
        </w:rPr>
      </w:pPr>
      <w:r>
        <w:rPr>
          <w:rFonts w:hint="eastAsia" w:ascii="宋体" w:hAnsi="宋体"/>
          <w:bCs/>
          <w:sz w:val="24"/>
        </w:rPr>
        <w:t>（八）基金投资组合报告</w:t>
      </w:r>
    </w:p>
    <w:p>
      <w:pPr>
        <w:spacing w:line="360" w:lineRule="auto"/>
        <w:ind w:firstLine="424" w:firstLineChars="177"/>
        <w:rPr>
          <w:rFonts w:ascii="宋体" w:hAnsi="宋体"/>
          <w:bCs/>
          <w:sz w:val="24"/>
        </w:rPr>
      </w:pPr>
      <w:r>
        <w:rPr>
          <w:rFonts w:hint="eastAsia" w:ascii="宋体" w:hAnsi="宋体"/>
          <w:bCs/>
          <w:sz w:val="24"/>
        </w:rPr>
        <w:t>基金管理人的董事会及董事保证本报告所载资料不存在虚假记载、误导性陈述或重大遗漏，并对其内容的真实性、准确性和完整性承担个别及连带责任。</w:t>
      </w:r>
    </w:p>
    <w:p>
      <w:pPr>
        <w:spacing w:line="360" w:lineRule="auto"/>
        <w:ind w:firstLine="424" w:firstLineChars="177"/>
        <w:rPr>
          <w:rFonts w:hint="eastAsia" w:ascii="宋体" w:hAnsi="宋体"/>
          <w:bCs/>
          <w:sz w:val="24"/>
        </w:rPr>
      </w:pPr>
      <w:r>
        <w:rPr>
          <w:rFonts w:hint="eastAsia" w:ascii="宋体" w:hAnsi="宋体"/>
          <w:bCs/>
          <w:sz w:val="24"/>
        </w:rPr>
        <w:t>基金托管人根据本基金合同规定，复核了本报告中的净</w:t>
      </w:r>
      <w:bookmarkStart w:id="168" w:name="_GoBack"/>
      <w:bookmarkEnd w:id="168"/>
      <w:r>
        <w:rPr>
          <w:rFonts w:hint="eastAsia" w:ascii="宋体" w:hAnsi="宋体"/>
          <w:bCs/>
          <w:sz w:val="24"/>
        </w:rPr>
        <w:t>值表现和投资组合报告等内容，保证复核内容不存在虚假记载、误导性陈述或者重大遗漏。</w:t>
      </w:r>
    </w:p>
    <w:p>
      <w:pPr>
        <w:spacing w:line="360" w:lineRule="auto"/>
        <w:ind w:firstLine="424" w:firstLineChars="177"/>
        <w:rPr>
          <w:rFonts w:ascii="宋体" w:hAnsi="宋体"/>
          <w:bCs/>
          <w:sz w:val="24"/>
        </w:rPr>
      </w:pPr>
      <w:r>
        <w:rPr>
          <w:rFonts w:hint="eastAsia" w:ascii="宋体" w:hAnsi="宋体"/>
          <w:bCs/>
          <w:sz w:val="24"/>
        </w:rPr>
        <w:t>本投资组合报告所载数据截至2017年3月31日，本报告中所列财务数据未经审计。</w:t>
      </w:r>
    </w:p>
    <w:p>
      <w:pPr>
        <w:spacing w:line="360" w:lineRule="auto"/>
        <w:ind w:firstLine="424" w:firstLineChars="177"/>
        <w:rPr>
          <w:rFonts w:ascii="宋体" w:hAnsi="宋体"/>
          <w:sz w:val="24"/>
        </w:rPr>
      </w:pPr>
      <w:r>
        <w:rPr>
          <w:rFonts w:hint="eastAsia" w:ascii="宋体" w:hAnsi="宋体"/>
          <w:sz w:val="24"/>
        </w:rPr>
        <w:t>1、报告期末基金资产组合情况（金额单位：人民币元）</w:t>
      </w:r>
    </w:p>
    <w:tbl>
      <w:tblPr>
        <w:tblStyle w:val="33"/>
        <w:tblW w:w="8850" w:type="dxa"/>
        <w:tblInd w:w="0" w:type="dxa"/>
        <w:tblLayout w:type="fixed"/>
        <w:tblCellMar>
          <w:top w:w="0" w:type="dxa"/>
          <w:left w:w="0" w:type="dxa"/>
          <w:bottom w:w="0" w:type="dxa"/>
          <w:right w:w="0" w:type="dxa"/>
        </w:tblCellMar>
      </w:tblPr>
      <w:tblGrid>
        <w:gridCol w:w="950"/>
        <w:gridCol w:w="3369"/>
        <w:gridCol w:w="2495"/>
        <w:gridCol w:w="2036"/>
      </w:tblGrid>
      <w:tr>
        <w:tblPrEx>
          <w:tblLayout w:type="fixed"/>
          <w:tblCellMar>
            <w:top w:w="0" w:type="dxa"/>
            <w:left w:w="0" w:type="dxa"/>
            <w:bottom w:w="0" w:type="dxa"/>
            <w:right w:w="0" w:type="dxa"/>
          </w:tblCellMar>
        </w:tblPrEx>
        <w:tc>
          <w:tcPr>
            <w:tcW w:w="9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序号</w:t>
            </w:r>
          </w:p>
        </w:tc>
        <w:tc>
          <w:tcPr>
            <w:tcW w:w="3369"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项目</w:t>
            </w:r>
          </w:p>
        </w:tc>
        <w:tc>
          <w:tcPr>
            <w:tcW w:w="249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金额</w:t>
            </w:r>
            <w:r>
              <w:rPr>
                <w:rFonts w:asciiTheme="minorEastAsia" w:hAnsiTheme="minorEastAsia" w:eastAsiaTheme="minorEastAsia"/>
                <w:bCs/>
                <w:sz w:val="24"/>
              </w:rPr>
              <w:t>(元)</w:t>
            </w:r>
          </w:p>
        </w:tc>
        <w:tc>
          <w:tcPr>
            <w:tcW w:w="2036"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占基金总资产的比例（</w:t>
            </w:r>
            <w:r>
              <w:rPr>
                <w:rFonts w:asciiTheme="minorEastAsia" w:hAnsiTheme="minorEastAsia" w:eastAsiaTheme="minorEastAsia"/>
                <w:bCs/>
                <w:sz w:val="24"/>
              </w:rPr>
              <w:t>%）</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1</w:t>
            </w: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固定收益投资</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1,581,514,297.94</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50.61</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Theme="minorEastAsia" w:hAnsiTheme="minorEastAsia" w:eastAsiaTheme="minorEastAsia"/>
                <w:bCs/>
                <w:sz w:val="24"/>
              </w:rPr>
            </w:pP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其中：债券</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1,581,514,297.94</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50.61</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Theme="minorEastAsia" w:hAnsiTheme="minorEastAsia" w:eastAsiaTheme="minorEastAsia"/>
                <w:bCs/>
                <w:sz w:val="24"/>
              </w:rPr>
            </w:pP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750"/>
              <w:jc w:val="left"/>
              <w:rPr>
                <w:rFonts w:asciiTheme="minorEastAsia" w:hAnsiTheme="minorEastAsia" w:eastAsiaTheme="minorEastAsia"/>
                <w:bCs/>
                <w:sz w:val="24"/>
              </w:rPr>
            </w:pPr>
            <w:r>
              <w:rPr>
                <w:rFonts w:hint="eastAsia" w:asciiTheme="minorEastAsia" w:hAnsiTheme="minorEastAsia" w:eastAsiaTheme="minorEastAsia"/>
                <w:bCs/>
                <w:sz w:val="24"/>
              </w:rPr>
              <w:t>资产支持证券</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2</w:t>
            </w: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买入返售金融资产</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1,178,031,143.65</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37.70</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Theme="minorEastAsia" w:hAnsiTheme="minorEastAsia" w:eastAsiaTheme="minorEastAsia"/>
                <w:bCs/>
                <w:sz w:val="24"/>
              </w:rPr>
            </w:pP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其中：买断式回购的买入返售金融资产</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3</w:t>
            </w: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银行存款和结算备付金合计</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350,904,942.98</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11.23</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4</w:t>
            </w: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其他资产</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14,197,925.68</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0.45</w:t>
            </w:r>
          </w:p>
        </w:tc>
      </w:tr>
      <w:tr>
        <w:tblPrEx>
          <w:tblLayout w:type="fixed"/>
          <w:tblCellMar>
            <w:top w:w="0" w:type="dxa"/>
            <w:left w:w="0" w:type="dxa"/>
            <w:bottom w:w="0" w:type="dxa"/>
            <w:right w:w="0" w:type="dxa"/>
          </w:tblCellMar>
        </w:tblPrEx>
        <w:tc>
          <w:tcPr>
            <w:tcW w:w="95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5</w:t>
            </w:r>
          </w:p>
        </w:tc>
        <w:tc>
          <w:tcPr>
            <w:tcW w:w="336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合计</w:t>
            </w:r>
          </w:p>
        </w:tc>
        <w:tc>
          <w:tcPr>
            <w:tcW w:w="24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3,124,648,310.25</w:t>
            </w:r>
          </w:p>
        </w:tc>
        <w:tc>
          <w:tcPr>
            <w:tcW w:w="2036"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100.00</w:t>
            </w:r>
          </w:p>
        </w:tc>
      </w:tr>
    </w:tbl>
    <w:p>
      <w:pPr>
        <w:spacing w:line="360" w:lineRule="auto"/>
        <w:ind w:firstLine="424" w:firstLineChars="177"/>
        <w:rPr>
          <w:rFonts w:asciiTheme="minorEastAsia" w:hAnsiTheme="minorEastAsia" w:eastAsiaTheme="minorEastAsia"/>
          <w:sz w:val="24"/>
        </w:rPr>
      </w:pPr>
      <w:r>
        <w:rPr>
          <w:rFonts w:asciiTheme="minorEastAsia" w:hAnsiTheme="minorEastAsia" w:eastAsiaTheme="minorEastAsia"/>
          <w:sz w:val="24"/>
        </w:rPr>
        <w:t>2</w:t>
      </w:r>
      <w:r>
        <w:rPr>
          <w:rFonts w:hint="eastAsia" w:asciiTheme="minorEastAsia" w:hAnsiTheme="minorEastAsia" w:eastAsiaTheme="minorEastAsia"/>
          <w:sz w:val="24"/>
        </w:rPr>
        <w:t>、报告期债券回购融资情况</w:t>
      </w:r>
    </w:p>
    <w:tbl>
      <w:tblPr>
        <w:tblStyle w:val="33"/>
        <w:tblW w:w="8894" w:type="dxa"/>
        <w:tblInd w:w="0" w:type="dxa"/>
        <w:tblLayout w:type="fixed"/>
        <w:tblCellMar>
          <w:top w:w="0" w:type="dxa"/>
          <w:left w:w="0" w:type="dxa"/>
          <w:bottom w:w="0" w:type="dxa"/>
          <w:right w:w="0" w:type="dxa"/>
        </w:tblCellMar>
      </w:tblPr>
      <w:tblGrid>
        <w:gridCol w:w="703"/>
        <w:gridCol w:w="3431"/>
        <w:gridCol w:w="2195"/>
        <w:gridCol w:w="2565"/>
      </w:tblGrid>
      <w:tr>
        <w:tblPrEx>
          <w:tblLayout w:type="fixed"/>
          <w:tblCellMar>
            <w:top w:w="0" w:type="dxa"/>
            <w:left w:w="0" w:type="dxa"/>
            <w:bottom w:w="0" w:type="dxa"/>
            <w:right w:w="0" w:type="dxa"/>
          </w:tblCellMar>
        </w:tblPrEx>
        <w:tc>
          <w:tcPr>
            <w:tcW w:w="70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序号</w:t>
            </w:r>
          </w:p>
        </w:tc>
        <w:tc>
          <w:tcPr>
            <w:tcW w:w="3431"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项目</w:t>
            </w:r>
          </w:p>
        </w:tc>
        <w:tc>
          <w:tcPr>
            <w:tcW w:w="219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金额</w:t>
            </w:r>
            <w:r>
              <w:rPr>
                <w:rFonts w:asciiTheme="minorEastAsia" w:hAnsiTheme="minorEastAsia" w:eastAsiaTheme="minorEastAsia"/>
                <w:bCs/>
                <w:sz w:val="24"/>
              </w:rPr>
              <w:t>(元)</w:t>
            </w:r>
          </w:p>
        </w:tc>
        <w:tc>
          <w:tcPr>
            <w:tcW w:w="256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占基金资产净值比例（％）</w:t>
            </w:r>
          </w:p>
        </w:tc>
      </w:tr>
      <w:tr>
        <w:tblPrEx>
          <w:tblLayout w:type="fixed"/>
          <w:tblCellMar>
            <w:top w:w="0" w:type="dxa"/>
            <w:left w:w="0" w:type="dxa"/>
            <w:bottom w:w="0" w:type="dxa"/>
            <w:right w:w="0" w:type="dxa"/>
          </w:tblCellMar>
        </w:tblPrEx>
        <w:tc>
          <w:tcPr>
            <w:tcW w:w="703"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1</w:t>
            </w:r>
          </w:p>
        </w:tc>
        <w:tc>
          <w:tcPr>
            <w:tcW w:w="343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报告期内债券回购融资余额</w:t>
            </w:r>
          </w:p>
        </w:tc>
        <w:tc>
          <w:tcPr>
            <w:tcW w:w="4760" w:type="dxa"/>
            <w:gridSpan w:val="2"/>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right"/>
              <w:rPr>
                <w:rFonts w:asciiTheme="minorEastAsia" w:hAnsiTheme="minorEastAsia" w:eastAsiaTheme="minorEastAsia"/>
                <w:bCs/>
                <w:sz w:val="24"/>
              </w:rPr>
            </w:pPr>
            <w:r>
              <w:rPr>
                <w:rFonts w:asciiTheme="minorEastAsia" w:hAnsiTheme="minorEastAsia" w:eastAsiaTheme="minorEastAsia"/>
                <w:bCs/>
                <w:sz w:val="24"/>
              </w:rPr>
              <w:t>3.59</w:t>
            </w:r>
          </w:p>
        </w:tc>
      </w:tr>
      <w:tr>
        <w:tblPrEx>
          <w:tblLayout w:type="fixed"/>
          <w:tblCellMar>
            <w:top w:w="0" w:type="dxa"/>
            <w:left w:w="0" w:type="dxa"/>
            <w:bottom w:w="0" w:type="dxa"/>
            <w:right w:w="0" w:type="dxa"/>
          </w:tblCellMar>
        </w:tblPrEx>
        <w:tc>
          <w:tcPr>
            <w:tcW w:w="703"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Theme="minorEastAsia" w:hAnsiTheme="minorEastAsia" w:eastAsiaTheme="minorEastAsia"/>
                <w:bCs/>
                <w:sz w:val="24"/>
              </w:rPr>
            </w:pPr>
          </w:p>
        </w:tc>
        <w:tc>
          <w:tcPr>
            <w:tcW w:w="343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其中：买断式回购融资</w:t>
            </w:r>
          </w:p>
        </w:tc>
        <w:tc>
          <w:tcPr>
            <w:tcW w:w="21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w:t>
            </w:r>
          </w:p>
        </w:tc>
        <w:tc>
          <w:tcPr>
            <w:tcW w:w="256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w:t>
            </w:r>
          </w:p>
        </w:tc>
      </w:tr>
      <w:tr>
        <w:tblPrEx>
          <w:tblLayout w:type="fixed"/>
          <w:tblCellMar>
            <w:top w:w="0" w:type="dxa"/>
            <w:left w:w="0" w:type="dxa"/>
            <w:bottom w:w="0" w:type="dxa"/>
            <w:right w:w="0" w:type="dxa"/>
          </w:tblCellMar>
        </w:tblPrEx>
        <w:tc>
          <w:tcPr>
            <w:tcW w:w="703"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2</w:t>
            </w:r>
          </w:p>
        </w:tc>
        <w:tc>
          <w:tcPr>
            <w:tcW w:w="343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报告期末债券回购融资余额</w:t>
            </w:r>
          </w:p>
        </w:tc>
        <w:tc>
          <w:tcPr>
            <w:tcW w:w="21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w:t>
            </w:r>
          </w:p>
        </w:tc>
        <w:tc>
          <w:tcPr>
            <w:tcW w:w="256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w:t>
            </w:r>
          </w:p>
        </w:tc>
      </w:tr>
      <w:tr>
        <w:tblPrEx>
          <w:tblLayout w:type="fixed"/>
          <w:tblCellMar>
            <w:top w:w="0" w:type="dxa"/>
            <w:left w:w="0" w:type="dxa"/>
            <w:bottom w:w="0" w:type="dxa"/>
            <w:right w:w="0" w:type="dxa"/>
          </w:tblCellMar>
        </w:tblPrEx>
        <w:tc>
          <w:tcPr>
            <w:tcW w:w="703"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Theme="minorEastAsia" w:hAnsiTheme="minorEastAsia" w:eastAsiaTheme="minorEastAsia"/>
                <w:bCs/>
                <w:sz w:val="24"/>
              </w:rPr>
            </w:pPr>
          </w:p>
        </w:tc>
        <w:tc>
          <w:tcPr>
            <w:tcW w:w="343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hint="eastAsia" w:asciiTheme="minorEastAsia" w:hAnsiTheme="minorEastAsia" w:eastAsiaTheme="minorEastAsia"/>
                <w:bCs/>
                <w:sz w:val="24"/>
              </w:rPr>
              <w:t>其中：买断式回购融资</w:t>
            </w:r>
          </w:p>
        </w:tc>
        <w:tc>
          <w:tcPr>
            <w:tcW w:w="219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w:t>
            </w:r>
          </w:p>
        </w:tc>
        <w:tc>
          <w:tcPr>
            <w:tcW w:w="256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bCs/>
                <w:sz w:val="24"/>
              </w:rPr>
            </w:pPr>
            <w:r>
              <w:rPr>
                <w:rFonts w:asciiTheme="minorEastAsia" w:hAnsiTheme="minorEastAsia" w:eastAsiaTheme="minorEastAsia"/>
                <w:bCs/>
                <w:sz w:val="24"/>
              </w:rPr>
              <w:t>-</w:t>
            </w:r>
          </w:p>
        </w:tc>
      </w:tr>
    </w:tbl>
    <w:p>
      <w:pPr>
        <w:spacing w:line="360" w:lineRule="auto"/>
        <w:ind w:firstLine="424" w:firstLineChars="177"/>
        <w:rPr>
          <w:rFonts w:asciiTheme="minorEastAsia" w:hAnsiTheme="minorEastAsia" w:eastAsiaTheme="minorEastAsia"/>
          <w:sz w:val="24"/>
        </w:rPr>
      </w:pPr>
      <w:r>
        <w:rPr>
          <w:rFonts w:hint="eastAsia" w:asciiTheme="minorEastAsia" w:hAnsiTheme="minorEastAsia" w:eastAsiaTheme="minorEastAsia"/>
          <w:sz w:val="24"/>
        </w:rPr>
        <w:t>注：报告期内债券回购融资余额占基金资产净值的比例为报告期内每个交易日融资余额占资产净值比例的简单平均值。</w:t>
      </w:r>
    </w:p>
    <w:p>
      <w:pPr>
        <w:spacing w:line="360" w:lineRule="auto"/>
        <w:ind w:firstLine="424" w:firstLineChars="177"/>
        <w:rPr>
          <w:rFonts w:asciiTheme="minorEastAsia" w:hAnsiTheme="minorEastAsia" w:eastAsiaTheme="minorEastAsia"/>
          <w:sz w:val="24"/>
        </w:rPr>
      </w:pPr>
      <w:r>
        <w:rPr>
          <w:rFonts w:hint="eastAsia" w:asciiTheme="minorEastAsia" w:hAnsiTheme="minorEastAsia" w:eastAsiaTheme="minorEastAsia"/>
          <w:sz w:val="24"/>
        </w:rPr>
        <w:t>债券正回购的资金余额超过基金资产净值的</w:t>
      </w:r>
      <w:r>
        <w:rPr>
          <w:rFonts w:asciiTheme="minorEastAsia" w:hAnsiTheme="minorEastAsia" w:eastAsiaTheme="minorEastAsia"/>
          <w:sz w:val="24"/>
        </w:rPr>
        <w:t>20%的说明:</w:t>
      </w:r>
    </w:p>
    <w:p>
      <w:pPr>
        <w:spacing w:line="360" w:lineRule="auto"/>
        <w:ind w:firstLine="424" w:firstLineChars="177"/>
        <w:rPr>
          <w:rFonts w:asciiTheme="minorEastAsia" w:hAnsiTheme="minorEastAsia" w:eastAsiaTheme="minorEastAsia"/>
          <w:sz w:val="24"/>
        </w:rPr>
      </w:pPr>
      <w:r>
        <w:rPr>
          <w:rFonts w:hint="eastAsia" w:asciiTheme="minorEastAsia" w:hAnsiTheme="minorEastAsia" w:eastAsiaTheme="minorEastAsia"/>
          <w:sz w:val="24"/>
        </w:rPr>
        <w:t>在本报告期内本基金债券正回购的资金余额未超过资产净值的</w:t>
      </w:r>
      <w:r>
        <w:rPr>
          <w:rFonts w:asciiTheme="minorEastAsia" w:hAnsiTheme="minorEastAsia" w:eastAsiaTheme="minorEastAsia"/>
          <w:sz w:val="24"/>
        </w:rPr>
        <w:t>20%。</w:t>
      </w:r>
    </w:p>
    <w:p>
      <w:pPr>
        <w:spacing w:line="360" w:lineRule="auto"/>
        <w:ind w:firstLine="424" w:firstLineChars="177"/>
        <w:rPr>
          <w:rFonts w:asciiTheme="minorEastAsia" w:hAnsiTheme="minorEastAsia" w:eastAsiaTheme="minorEastAsia"/>
          <w:sz w:val="24"/>
        </w:rPr>
      </w:pPr>
      <w:r>
        <w:rPr>
          <w:rFonts w:asciiTheme="minorEastAsia" w:hAnsiTheme="minorEastAsia" w:eastAsiaTheme="minorEastAsia"/>
          <w:sz w:val="24"/>
        </w:rPr>
        <w:t>3、</w:t>
      </w:r>
      <w:r>
        <w:rPr>
          <w:rFonts w:hint="eastAsia" w:asciiTheme="minorEastAsia" w:hAnsiTheme="minorEastAsia" w:eastAsiaTheme="minorEastAsia"/>
          <w:sz w:val="24"/>
        </w:rPr>
        <w:t>基金投资组合平均剩余期限</w:t>
      </w:r>
    </w:p>
    <w:p>
      <w:pPr>
        <w:spacing w:line="360" w:lineRule="auto"/>
        <w:ind w:firstLine="424" w:firstLineChars="177"/>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1）投资组合平均剩余期限基本情况</w:t>
      </w:r>
    </w:p>
    <w:tbl>
      <w:tblPr>
        <w:tblStyle w:val="33"/>
        <w:tblW w:w="8850" w:type="dxa"/>
        <w:tblInd w:w="0" w:type="dxa"/>
        <w:tblLayout w:type="fixed"/>
        <w:tblCellMar>
          <w:top w:w="0" w:type="dxa"/>
          <w:left w:w="0" w:type="dxa"/>
          <w:bottom w:w="0" w:type="dxa"/>
          <w:right w:w="0" w:type="dxa"/>
        </w:tblCellMar>
      </w:tblPr>
      <w:tblGrid>
        <w:gridCol w:w="6007"/>
        <w:gridCol w:w="2843"/>
      </w:tblGrid>
      <w:tr>
        <w:tblPrEx>
          <w:tblLayout w:type="fixed"/>
        </w:tblPrEx>
        <w:tc>
          <w:tcPr>
            <w:tcW w:w="6007"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项目</w:t>
            </w:r>
          </w:p>
        </w:tc>
        <w:tc>
          <w:tcPr>
            <w:tcW w:w="2843"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天数</w:t>
            </w:r>
          </w:p>
        </w:tc>
      </w:tr>
      <w:tr>
        <w:tblPrEx>
          <w:tblLayout w:type="fixed"/>
          <w:tblCellMar>
            <w:top w:w="0" w:type="dxa"/>
            <w:left w:w="0" w:type="dxa"/>
            <w:bottom w:w="0" w:type="dxa"/>
            <w:right w:w="0" w:type="dxa"/>
          </w:tblCellMar>
        </w:tblPrEx>
        <w:tc>
          <w:tcPr>
            <w:tcW w:w="600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报告期末投资组合平均剩余期限</w:t>
            </w:r>
          </w:p>
        </w:tc>
        <w:tc>
          <w:tcPr>
            <w:tcW w:w="28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59</w:t>
            </w:r>
          </w:p>
        </w:tc>
      </w:tr>
      <w:tr>
        <w:tblPrEx>
          <w:tblLayout w:type="fixed"/>
          <w:tblCellMar>
            <w:top w:w="0" w:type="dxa"/>
            <w:left w:w="0" w:type="dxa"/>
            <w:bottom w:w="0" w:type="dxa"/>
            <w:right w:w="0" w:type="dxa"/>
          </w:tblCellMar>
        </w:tblPrEx>
        <w:tc>
          <w:tcPr>
            <w:tcW w:w="600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报告期内投资组合平均剩余期限最高值</w:t>
            </w:r>
          </w:p>
        </w:tc>
        <w:tc>
          <w:tcPr>
            <w:tcW w:w="28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106</w:t>
            </w:r>
          </w:p>
        </w:tc>
      </w:tr>
      <w:tr>
        <w:tblPrEx>
          <w:tblLayout w:type="fixed"/>
          <w:tblCellMar>
            <w:top w:w="0" w:type="dxa"/>
            <w:left w:w="0" w:type="dxa"/>
            <w:bottom w:w="0" w:type="dxa"/>
            <w:right w:w="0" w:type="dxa"/>
          </w:tblCellMar>
        </w:tblPrEx>
        <w:tc>
          <w:tcPr>
            <w:tcW w:w="600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报告期内投资组合平均剩余期限最低值</w:t>
            </w:r>
          </w:p>
        </w:tc>
        <w:tc>
          <w:tcPr>
            <w:tcW w:w="28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17</w:t>
            </w:r>
          </w:p>
        </w:tc>
      </w:tr>
    </w:tbl>
    <w:p>
      <w:pPr>
        <w:spacing w:line="360" w:lineRule="auto"/>
        <w:ind w:firstLine="424" w:firstLineChars="177"/>
        <w:rPr>
          <w:rFonts w:asciiTheme="minorEastAsia" w:hAnsiTheme="minorEastAsia" w:eastAsiaTheme="minorEastAsia"/>
          <w:sz w:val="24"/>
        </w:rPr>
      </w:pPr>
      <w:r>
        <w:rPr>
          <w:rFonts w:hint="eastAsia" w:asciiTheme="minorEastAsia" w:hAnsiTheme="minorEastAsia" w:eastAsiaTheme="minorEastAsia"/>
          <w:sz w:val="24"/>
        </w:rPr>
        <w:t>报告期内投资组合平均剩余期限超过</w:t>
      </w:r>
      <w:r>
        <w:rPr>
          <w:rFonts w:asciiTheme="minorEastAsia" w:hAnsiTheme="minorEastAsia" w:eastAsiaTheme="minorEastAsia"/>
          <w:sz w:val="24"/>
        </w:rPr>
        <w:t>120天情况说明:</w:t>
      </w:r>
    </w:p>
    <w:p>
      <w:pPr>
        <w:spacing w:line="360" w:lineRule="auto"/>
        <w:ind w:firstLine="424" w:firstLineChars="177"/>
        <w:rPr>
          <w:rFonts w:asciiTheme="minorEastAsia" w:hAnsiTheme="minorEastAsia" w:eastAsiaTheme="minorEastAsia"/>
          <w:sz w:val="24"/>
        </w:rPr>
      </w:pPr>
      <w:r>
        <w:rPr>
          <w:rFonts w:hint="eastAsia" w:asciiTheme="minorEastAsia" w:hAnsiTheme="minorEastAsia" w:eastAsiaTheme="minorEastAsia"/>
          <w:sz w:val="24"/>
        </w:rPr>
        <w:t>本基金本报告期内投资组合平均剩余期限未发生超过</w:t>
      </w:r>
      <w:r>
        <w:rPr>
          <w:rFonts w:asciiTheme="minorEastAsia" w:hAnsiTheme="minorEastAsia" w:eastAsiaTheme="minorEastAsia"/>
          <w:sz w:val="24"/>
        </w:rPr>
        <w:t>120天的情况。</w:t>
      </w:r>
    </w:p>
    <w:p>
      <w:pPr>
        <w:spacing w:line="360" w:lineRule="auto"/>
        <w:ind w:firstLine="424" w:firstLineChars="177"/>
        <w:rPr>
          <w:rFonts w:asciiTheme="minorEastAsia" w:hAnsiTheme="minorEastAsia" w:eastAsiaTheme="minorEastAsia"/>
          <w:sz w:val="24"/>
        </w:rPr>
      </w:pPr>
      <w:r>
        <w:rPr>
          <w:rFonts w:hint="eastAsia" w:asciiTheme="minorEastAsia" w:hAnsiTheme="minorEastAsia" w:eastAsiaTheme="minorEastAsia"/>
          <w:sz w:val="24"/>
        </w:rPr>
        <w:t>（</w:t>
      </w:r>
      <w:r>
        <w:rPr>
          <w:rFonts w:asciiTheme="minorEastAsia" w:hAnsiTheme="minorEastAsia" w:eastAsiaTheme="minorEastAsia"/>
          <w:sz w:val="24"/>
        </w:rPr>
        <w:t>2）报告期末投资组合平均剩余期限分布比例</w:t>
      </w:r>
    </w:p>
    <w:tbl>
      <w:tblPr>
        <w:tblStyle w:val="33"/>
        <w:tblW w:w="8850" w:type="dxa"/>
        <w:tblInd w:w="0" w:type="dxa"/>
        <w:tblLayout w:type="fixed"/>
        <w:tblCellMar>
          <w:top w:w="0" w:type="dxa"/>
          <w:left w:w="0" w:type="dxa"/>
          <w:bottom w:w="0" w:type="dxa"/>
          <w:right w:w="0" w:type="dxa"/>
        </w:tblCellMar>
      </w:tblPr>
      <w:tblGrid>
        <w:gridCol w:w="964"/>
        <w:gridCol w:w="3078"/>
        <w:gridCol w:w="2404"/>
        <w:gridCol w:w="2404"/>
      </w:tblGrid>
      <w:tr>
        <w:tblPrEx>
          <w:tblLayout w:type="fixed"/>
          <w:tblCellMar>
            <w:top w:w="0" w:type="dxa"/>
            <w:left w:w="0" w:type="dxa"/>
            <w:bottom w:w="0" w:type="dxa"/>
            <w:right w:w="0" w:type="dxa"/>
          </w:tblCellMar>
        </w:tblPrEx>
        <w:tc>
          <w:tcPr>
            <w:tcW w:w="964"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序号</w:t>
            </w:r>
          </w:p>
        </w:tc>
        <w:tc>
          <w:tcPr>
            <w:tcW w:w="3078"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平均剩余期限</w:t>
            </w:r>
          </w:p>
        </w:tc>
        <w:tc>
          <w:tcPr>
            <w:tcW w:w="2404"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各期限资产占基金资产净值的比例（</w:t>
            </w:r>
            <w:r>
              <w:rPr>
                <w:rFonts w:asciiTheme="minorEastAsia" w:hAnsiTheme="minorEastAsia" w:eastAsiaTheme="minorEastAsia"/>
                <w:sz w:val="24"/>
              </w:rPr>
              <w:t>%）</w:t>
            </w:r>
          </w:p>
        </w:tc>
        <w:tc>
          <w:tcPr>
            <w:tcW w:w="2404"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各期限负债占基金资产净值的比例（</w:t>
            </w:r>
            <w:r>
              <w:rPr>
                <w:rFonts w:asciiTheme="minorEastAsia" w:hAnsiTheme="minorEastAsia" w:eastAsiaTheme="minorEastAsia"/>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1</w:t>
            </w: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30天以内</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56.36</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Theme="minorEastAsia" w:hAnsiTheme="minorEastAsia" w:eastAsiaTheme="minorEastAsia"/>
                <w:sz w:val="24"/>
              </w:rPr>
            </w:pP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其中：剩余存续期超过</w:t>
            </w:r>
            <w:r>
              <w:rPr>
                <w:rFonts w:asciiTheme="minorEastAsia" w:hAnsiTheme="minorEastAsia" w:eastAsiaTheme="minorEastAsia"/>
                <w:sz w:val="24"/>
              </w:rPr>
              <w:t>397天的浮动利率债</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2</w:t>
            </w: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30天(含)—60天</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14.70</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Theme="minorEastAsia" w:hAnsiTheme="minorEastAsia" w:eastAsiaTheme="minorEastAsia"/>
                <w:sz w:val="24"/>
              </w:rPr>
            </w:pP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其中：剩余存续期超过</w:t>
            </w:r>
            <w:r>
              <w:rPr>
                <w:rFonts w:asciiTheme="minorEastAsia" w:hAnsiTheme="minorEastAsia" w:eastAsiaTheme="minorEastAsia"/>
                <w:sz w:val="24"/>
              </w:rPr>
              <w:t>397天的浮动利率债</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3</w:t>
            </w: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60天（含）—90天</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3.18</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Theme="minorEastAsia" w:hAnsiTheme="minorEastAsia" w:eastAsiaTheme="minorEastAsia"/>
                <w:sz w:val="24"/>
              </w:rPr>
            </w:pP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其中：剩余存续期超过</w:t>
            </w:r>
            <w:r>
              <w:rPr>
                <w:rFonts w:asciiTheme="minorEastAsia" w:hAnsiTheme="minorEastAsia" w:eastAsiaTheme="minorEastAsia"/>
                <w:sz w:val="24"/>
              </w:rPr>
              <w:t>397天的浮动利率债</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4</w:t>
            </w: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90天(含)—120天</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7.97</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Theme="minorEastAsia" w:hAnsiTheme="minorEastAsia" w:eastAsiaTheme="minorEastAsia"/>
                <w:sz w:val="24"/>
              </w:rPr>
            </w:pP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其中：剩余存续期超过</w:t>
            </w:r>
            <w:r>
              <w:rPr>
                <w:rFonts w:asciiTheme="minorEastAsia" w:hAnsiTheme="minorEastAsia" w:eastAsiaTheme="minorEastAsia"/>
                <w:sz w:val="24"/>
              </w:rPr>
              <w:t>397天的浮动利率债</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5</w:t>
            </w: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120天(含)—397天（含）</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17.38</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r>
      <w:tr>
        <w:tblPrEx>
          <w:tblLayout w:type="fixed"/>
          <w:tblCellMar>
            <w:top w:w="0" w:type="dxa"/>
            <w:left w:w="0" w:type="dxa"/>
            <w:bottom w:w="0" w:type="dxa"/>
            <w:right w:w="0" w:type="dxa"/>
          </w:tblCellMar>
        </w:tblPrEx>
        <w:tc>
          <w:tcPr>
            <w:tcW w:w="964"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Theme="minorEastAsia" w:hAnsiTheme="minorEastAsia" w:eastAsiaTheme="minorEastAsia"/>
                <w:sz w:val="24"/>
              </w:rPr>
            </w:pPr>
          </w:p>
        </w:tc>
        <w:tc>
          <w:tcPr>
            <w:tcW w:w="307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其中：剩余存续期超过</w:t>
            </w:r>
            <w:r>
              <w:rPr>
                <w:rFonts w:asciiTheme="minorEastAsia" w:hAnsiTheme="minorEastAsia" w:eastAsiaTheme="minorEastAsia"/>
                <w:sz w:val="24"/>
              </w:rPr>
              <w:t>397天的浮动利率债</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r>
      <w:tr>
        <w:tblPrEx>
          <w:tblLayout w:type="fixed"/>
          <w:tblCellMar>
            <w:top w:w="0" w:type="dxa"/>
            <w:left w:w="0" w:type="dxa"/>
            <w:bottom w:w="0" w:type="dxa"/>
            <w:right w:w="0" w:type="dxa"/>
          </w:tblCellMar>
        </w:tblPrEx>
        <w:tc>
          <w:tcPr>
            <w:tcW w:w="4042" w:type="dxa"/>
            <w:gridSpan w:val="2"/>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hint="eastAsia" w:asciiTheme="minorEastAsia" w:hAnsiTheme="minorEastAsia" w:eastAsiaTheme="minorEastAsia"/>
                <w:sz w:val="24"/>
              </w:rPr>
              <w:t>合计</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99.59</w:t>
            </w:r>
          </w:p>
        </w:tc>
        <w:tc>
          <w:tcPr>
            <w:tcW w:w="240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Theme="minorEastAsia" w:hAnsiTheme="minorEastAsia" w:eastAsiaTheme="minorEastAsia"/>
                <w:sz w:val="24"/>
              </w:rPr>
            </w:pPr>
            <w:r>
              <w:rPr>
                <w:rFonts w:asciiTheme="minorEastAsia" w:hAnsiTheme="minorEastAsia" w:eastAsiaTheme="minorEastAsia"/>
                <w:sz w:val="24"/>
              </w:rPr>
              <w:t>-</w:t>
            </w:r>
          </w:p>
        </w:tc>
      </w:tr>
    </w:tbl>
    <w:p>
      <w:pPr>
        <w:spacing w:line="360" w:lineRule="auto"/>
        <w:ind w:firstLine="424" w:firstLineChars="177"/>
        <w:rPr>
          <w:rFonts w:ascii="宋体" w:hAnsi="宋体"/>
          <w:sz w:val="24"/>
        </w:rPr>
      </w:pPr>
      <w:r>
        <w:rPr>
          <w:rFonts w:hint="eastAsia" w:ascii="宋体" w:hAnsi="宋体"/>
          <w:sz w:val="24"/>
        </w:rPr>
        <w:t>4、报告期内投资组合平均剩余存续期超过240天情况说明</w:t>
      </w:r>
    </w:p>
    <w:p>
      <w:pPr>
        <w:spacing w:line="360" w:lineRule="auto"/>
        <w:ind w:firstLine="424" w:firstLineChars="177"/>
        <w:rPr>
          <w:rFonts w:ascii="宋体" w:hAnsi="宋体"/>
          <w:sz w:val="24"/>
        </w:rPr>
      </w:pPr>
      <w:r>
        <w:rPr>
          <w:rFonts w:hint="eastAsia" w:ascii="宋体" w:hAnsi="宋体"/>
          <w:sz w:val="24"/>
        </w:rPr>
        <w:t>本基金本报告期内未出现平均剩余存续期超过240天的情况。</w:t>
      </w:r>
    </w:p>
    <w:p>
      <w:pPr>
        <w:spacing w:line="360" w:lineRule="auto"/>
        <w:ind w:firstLine="424" w:firstLineChars="177"/>
        <w:rPr>
          <w:rFonts w:ascii="宋体" w:hAnsi="宋体"/>
          <w:sz w:val="24"/>
        </w:rPr>
      </w:pPr>
      <w:r>
        <w:rPr>
          <w:rFonts w:hint="eastAsia" w:ascii="宋体" w:hAnsi="宋体"/>
          <w:sz w:val="24"/>
        </w:rPr>
        <w:t>5、报告期末按债券品种分类的债券投资组合</w:t>
      </w:r>
    </w:p>
    <w:tbl>
      <w:tblPr>
        <w:tblStyle w:val="33"/>
        <w:tblW w:w="8850" w:type="dxa"/>
        <w:tblInd w:w="0" w:type="dxa"/>
        <w:tblLayout w:type="fixed"/>
        <w:tblCellMar>
          <w:top w:w="0" w:type="dxa"/>
          <w:left w:w="0" w:type="dxa"/>
          <w:bottom w:w="0" w:type="dxa"/>
          <w:right w:w="0" w:type="dxa"/>
        </w:tblCellMar>
      </w:tblPr>
      <w:tblGrid>
        <w:gridCol w:w="710"/>
        <w:gridCol w:w="3151"/>
        <w:gridCol w:w="2519"/>
        <w:gridCol w:w="2470"/>
      </w:tblGrid>
      <w:tr>
        <w:tblPrEx>
          <w:tblLayout w:type="fixed"/>
          <w:tblCellMar>
            <w:top w:w="0" w:type="dxa"/>
            <w:left w:w="0" w:type="dxa"/>
            <w:bottom w:w="0" w:type="dxa"/>
            <w:right w:w="0" w:type="dxa"/>
          </w:tblCellMar>
        </w:tblPrEx>
        <w:tc>
          <w:tcPr>
            <w:tcW w:w="71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序号</w:t>
            </w:r>
          </w:p>
        </w:tc>
        <w:tc>
          <w:tcPr>
            <w:tcW w:w="3151"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债券品种</w:t>
            </w:r>
          </w:p>
        </w:tc>
        <w:tc>
          <w:tcPr>
            <w:tcW w:w="2519"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摊余成本(元)</w:t>
            </w:r>
          </w:p>
        </w:tc>
        <w:tc>
          <w:tcPr>
            <w:tcW w:w="247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占基金资产净值比例（％）</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国家债券</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2</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央行票据</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3</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金融债券</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299,879,937.44</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9.60</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line="315" w:lineRule="atLeast"/>
              <w:jc w:val="left"/>
              <w:rPr>
                <w:rFonts w:ascii="宋体" w:hAnsi="宋体"/>
                <w:sz w:val="24"/>
              </w:rPr>
            </w:pP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其中：政策性金融债</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299,879,937.44</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9.60</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4</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企业债券</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5</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企业短期融资券</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590,101,883.16</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18.89</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6</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中期票据</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7</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同业存单</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691,532,477.34</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22.14</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8</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其他</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9</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合计</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1,581,514,297.94</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50.64</w:t>
            </w:r>
          </w:p>
        </w:tc>
      </w:tr>
      <w:tr>
        <w:tblPrEx>
          <w:tblLayout w:type="fixed"/>
          <w:tblCellMar>
            <w:top w:w="0" w:type="dxa"/>
            <w:left w:w="0" w:type="dxa"/>
            <w:bottom w:w="0" w:type="dxa"/>
            <w:right w:w="0" w:type="dxa"/>
          </w:tblCellMar>
        </w:tblPrEx>
        <w:tc>
          <w:tcPr>
            <w:tcW w:w="7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10</w:t>
            </w:r>
          </w:p>
        </w:tc>
        <w:tc>
          <w:tcPr>
            <w:tcW w:w="3151"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剩余存续期超过397天的浮动利率债券</w:t>
            </w:r>
          </w:p>
        </w:tc>
        <w:tc>
          <w:tcPr>
            <w:tcW w:w="2519"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c>
          <w:tcPr>
            <w:tcW w:w="247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bl>
    <w:p>
      <w:pPr>
        <w:spacing w:line="360" w:lineRule="auto"/>
        <w:ind w:firstLine="424" w:firstLineChars="177"/>
        <w:rPr>
          <w:rFonts w:ascii="宋体" w:hAnsi="宋体"/>
          <w:bCs/>
          <w:sz w:val="24"/>
        </w:rPr>
      </w:pPr>
      <w:r>
        <w:rPr>
          <w:rFonts w:hint="eastAsia" w:ascii="宋体" w:hAnsi="宋体"/>
          <w:bCs/>
          <w:sz w:val="24"/>
        </w:rPr>
        <w:t>6、报告期末按摊余成本占基金资产净值比例大小排名的前十名债券投资明细</w:t>
      </w:r>
    </w:p>
    <w:tbl>
      <w:tblPr>
        <w:tblStyle w:val="33"/>
        <w:tblW w:w="9036" w:type="dxa"/>
        <w:tblInd w:w="0" w:type="dxa"/>
        <w:tblLayout w:type="fixed"/>
        <w:tblCellMar>
          <w:top w:w="0" w:type="dxa"/>
          <w:left w:w="0" w:type="dxa"/>
          <w:bottom w:w="0" w:type="dxa"/>
          <w:right w:w="0" w:type="dxa"/>
        </w:tblCellMar>
      </w:tblPr>
      <w:tblGrid>
        <w:gridCol w:w="810"/>
        <w:gridCol w:w="1485"/>
        <w:gridCol w:w="2085"/>
        <w:gridCol w:w="1620"/>
        <w:gridCol w:w="2043"/>
        <w:gridCol w:w="993"/>
      </w:tblGrid>
      <w:tr>
        <w:tblPrEx>
          <w:tblLayout w:type="fixed"/>
          <w:tblCellMar>
            <w:top w:w="0" w:type="dxa"/>
            <w:left w:w="0" w:type="dxa"/>
            <w:bottom w:w="0" w:type="dxa"/>
            <w:right w:w="0" w:type="dxa"/>
          </w:tblCellMar>
        </w:tblPrEx>
        <w:tc>
          <w:tcPr>
            <w:tcW w:w="81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序号</w:t>
            </w:r>
          </w:p>
        </w:tc>
        <w:tc>
          <w:tcPr>
            <w:tcW w:w="148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债券代码</w:t>
            </w:r>
          </w:p>
        </w:tc>
        <w:tc>
          <w:tcPr>
            <w:tcW w:w="208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债券名称</w:t>
            </w:r>
          </w:p>
        </w:tc>
        <w:tc>
          <w:tcPr>
            <w:tcW w:w="1620"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债券数量</w:t>
            </w:r>
          </w:p>
        </w:tc>
        <w:tc>
          <w:tcPr>
            <w:tcW w:w="2043"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摊余成本</w:t>
            </w:r>
          </w:p>
        </w:tc>
        <w:tc>
          <w:tcPr>
            <w:tcW w:w="993"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占基金资产净值比例</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w:t>
            </w:r>
          </w:p>
        </w:tc>
        <w:tc>
          <w:tcPr>
            <w:tcW w:w="14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011754006</w:t>
            </w:r>
          </w:p>
        </w:tc>
        <w:tc>
          <w:tcPr>
            <w:tcW w:w="20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17金隅SCP001</w:t>
            </w:r>
          </w:p>
        </w:tc>
        <w:tc>
          <w:tcPr>
            <w:tcW w:w="162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1,500,000</w:t>
            </w:r>
          </w:p>
        </w:tc>
        <w:tc>
          <w:tcPr>
            <w:tcW w:w="20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150,072,257.86</w:t>
            </w:r>
          </w:p>
        </w:tc>
        <w:tc>
          <w:tcPr>
            <w:tcW w:w="99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4.80</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2</w:t>
            </w:r>
          </w:p>
        </w:tc>
        <w:tc>
          <w:tcPr>
            <w:tcW w:w="14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170203</w:t>
            </w:r>
          </w:p>
        </w:tc>
        <w:tc>
          <w:tcPr>
            <w:tcW w:w="20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17国开03</w:t>
            </w:r>
          </w:p>
        </w:tc>
        <w:tc>
          <w:tcPr>
            <w:tcW w:w="162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1,000,000</w:t>
            </w:r>
          </w:p>
        </w:tc>
        <w:tc>
          <w:tcPr>
            <w:tcW w:w="20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99,910,856.01</w:t>
            </w:r>
          </w:p>
        </w:tc>
        <w:tc>
          <w:tcPr>
            <w:tcW w:w="99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3.20</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3</w:t>
            </w:r>
          </w:p>
        </w:tc>
        <w:tc>
          <w:tcPr>
            <w:tcW w:w="14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111693776</w:t>
            </w:r>
          </w:p>
        </w:tc>
        <w:tc>
          <w:tcPr>
            <w:tcW w:w="20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16包商银行CD028</w:t>
            </w:r>
          </w:p>
        </w:tc>
        <w:tc>
          <w:tcPr>
            <w:tcW w:w="162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1,000,000</w:t>
            </w:r>
          </w:p>
        </w:tc>
        <w:tc>
          <w:tcPr>
            <w:tcW w:w="20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99,406,770.39</w:t>
            </w:r>
          </w:p>
        </w:tc>
        <w:tc>
          <w:tcPr>
            <w:tcW w:w="99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3.18</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4</w:t>
            </w:r>
          </w:p>
        </w:tc>
        <w:tc>
          <w:tcPr>
            <w:tcW w:w="14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111719051</w:t>
            </w:r>
          </w:p>
        </w:tc>
        <w:tc>
          <w:tcPr>
            <w:tcW w:w="20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17恒丰银行CD051</w:t>
            </w:r>
          </w:p>
        </w:tc>
        <w:tc>
          <w:tcPr>
            <w:tcW w:w="162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1,000,000</w:t>
            </w:r>
          </w:p>
        </w:tc>
        <w:tc>
          <w:tcPr>
            <w:tcW w:w="20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99,263,484.72</w:t>
            </w:r>
          </w:p>
        </w:tc>
        <w:tc>
          <w:tcPr>
            <w:tcW w:w="99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3.18</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5</w:t>
            </w:r>
          </w:p>
        </w:tc>
        <w:tc>
          <w:tcPr>
            <w:tcW w:w="14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111792619</w:t>
            </w:r>
          </w:p>
        </w:tc>
        <w:tc>
          <w:tcPr>
            <w:tcW w:w="20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17宁波银行CD046</w:t>
            </w:r>
          </w:p>
        </w:tc>
        <w:tc>
          <w:tcPr>
            <w:tcW w:w="162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1,000,000</w:t>
            </w:r>
          </w:p>
        </w:tc>
        <w:tc>
          <w:tcPr>
            <w:tcW w:w="20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98,221,958.09</w:t>
            </w:r>
          </w:p>
        </w:tc>
        <w:tc>
          <w:tcPr>
            <w:tcW w:w="99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3.14</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6</w:t>
            </w:r>
          </w:p>
        </w:tc>
        <w:tc>
          <w:tcPr>
            <w:tcW w:w="14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011698269</w:t>
            </w:r>
          </w:p>
        </w:tc>
        <w:tc>
          <w:tcPr>
            <w:tcW w:w="20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16南航股SCP005</w:t>
            </w:r>
          </w:p>
        </w:tc>
        <w:tc>
          <w:tcPr>
            <w:tcW w:w="162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600,000</w:t>
            </w:r>
          </w:p>
        </w:tc>
        <w:tc>
          <w:tcPr>
            <w:tcW w:w="20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60,062,190.16</w:t>
            </w:r>
          </w:p>
        </w:tc>
        <w:tc>
          <w:tcPr>
            <w:tcW w:w="99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1.92</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7</w:t>
            </w:r>
          </w:p>
        </w:tc>
        <w:tc>
          <w:tcPr>
            <w:tcW w:w="14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160419</w:t>
            </w:r>
          </w:p>
        </w:tc>
        <w:tc>
          <w:tcPr>
            <w:tcW w:w="20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16农发19</w:t>
            </w:r>
          </w:p>
        </w:tc>
        <w:tc>
          <w:tcPr>
            <w:tcW w:w="162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600,000</w:t>
            </w:r>
          </w:p>
        </w:tc>
        <w:tc>
          <w:tcPr>
            <w:tcW w:w="20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59,866,271.50</w:t>
            </w:r>
          </w:p>
        </w:tc>
        <w:tc>
          <w:tcPr>
            <w:tcW w:w="99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1.92</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8</w:t>
            </w:r>
          </w:p>
        </w:tc>
        <w:tc>
          <w:tcPr>
            <w:tcW w:w="14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140438</w:t>
            </w:r>
          </w:p>
        </w:tc>
        <w:tc>
          <w:tcPr>
            <w:tcW w:w="20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14农发38</w:t>
            </w:r>
          </w:p>
        </w:tc>
        <w:tc>
          <w:tcPr>
            <w:tcW w:w="162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500,000</w:t>
            </w:r>
          </w:p>
        </w:tc>
        <w:tc>
          <w:tcPr>
            <w:tcW w:w="20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50,243,817.92</w:t>
            </w:r>
          </w:p>
        </w:tc>
        <w:tc>
          <w:tcPr>
            <w:tcW w:w="99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1.61</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9</w:t>
            </w:r>
          </w:p>
        </w:tc>
        <w:tc>
          <w:tcPr>
            <w:tcW w:w="14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011698084</w:t>
            </w:r>
          </w:p>
        </w:tc>
        <w:tc>
          <w:tcPr>
            <w:tcW w:w="20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16厦翔业SCP008</w:t>
            </w:r>
          </w:p>
        </w:tc>
        <w:tc>
          <w:tcPr>
            <w:tcW w:w="162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500,000</w:t>
            </w:r>
          </w:p>
        </w:tc>
        <w:tc>
          <w:tcPr>
            <w:tcW w:w="20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50,072,751.38</w:t>
            </w:r>
          </w:p>
        </w:tc>
        <w:tc>
          <w:tcPr>
            <w:tcW w:w="99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1.60</w:t>
            </w:r>
          </w:p>
        </w:tc>
      </w:tr>
      <w:tr>
        <w:tblPrEx>
          <w:tblLayout w:type="fixed"/>
          <w:tblCellMar>
            <w:top w:w="0" w:type="dxa"/>
            <w:left w:w="0" w:type="dxa"/>
            <w:bottom w:w="0" w:type="dxa"/>
            <w:right w:w="0" w:type="dxa"/>
          </w:tblCellMar>
        </w:tblPrEx>
        <w:tc>
          <w:tcPr>
            <w:tcW w:w="810"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10</w:t>
            </w:r>
          </w:p>
        </w:tc>
        <w:tc>
          <w:tcPr>
            <w:tcW w:w="14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011756003</w:t>
            </w:r>
          </w:p>
        </w:tc>
        <w:tc>
          <w:tcPr>
            <w:tcW w:w="208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17鲁高速SCP001</w:t>
            </w:r>
          </w:p>
        </w:tc>
        <w:tc>
          <w:tcPr>
            <w:tcW w:w="1620"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500,000</w:t>
            </w:r>
          </w:p>
        </w:tc>
        <w:tc>
          <w:tcPr>
            <w:tcW w:w="204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bCs/>
                <w:sz w:val="24"/>
              </w:rPr>
            </w:pPr>
            <w:r>
              <w:rPr>
                <w:rFonts w:hint="eastAsia" w:ascii="宋体" w:hAnsi="宋体"/>
                <w:bCs/>
                <w:sz w:val="24"/>
              </w:rPr>
              <w:t>50,004,983.43</w:t>
            </w:r>
          </w:p>
        </w:tc>
        <w:tc>
          <w:tcPr>
            <w:tcW w:w="993"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center"/>
              <w:rPr>
                <w:rFonts w:ascii="宋体" w:hAnsi="宋体"/>
                <w:bCs/>
                <w:sz w:val="24"/>
              </w:rPr>
            </w:pPr>
            <w:r>
              <w:rPr>
                <w:rFonts w:hint="eastAsia" w:ascii="宋体" w:hAnsi="宋体"/>
                <w:bCs/>
                <w:sz w:val="24"/>
              </w:rPr>
              <w:t>1.60</w:t>
            </w:r>
          </w:p>
        </w:tc>
      </w:tr>
    </w:tbl>
    <w:p>
      <w:pPr>
        <w:widowControl/>
        <w:spacing w:before="30" w:line="360" w:lineRule="auto"/>
        <w:ind w:left="17" w:firstLine="425"/>
        <w:jc w:val="left"/>
        <w:rPr>
          <w:rFonts w:ascii="宋体" w:hAnsi="宋体"/>
          <w:sz w:val="24"/>
        </w:rPr>
      </w:pPr>
      <w:r>
        <w:rPr>
          <w:rFonts w:hint="eastAsia" w:ascii="宋体" w:hAnsi="宋体"/>
          <w:sz w:val="24"/>
        </w:rPr>
        <w:t>7、“影子定价”与“摊余成本法”确定的基金资产净值的偏离</w:t>
      </w:r>
    </w:p>
    <w:tbl>
      <w:tblPr>
        <w:tblStyle w:val="33"/>
        <w:tblW w:w="8850" w:type="dxa"/>
        <w:tblInd w:w="0" w:type="dxa"/>
        <w:tblLayout w:type="fixed"/>
        <w:tblCellMar>
          <w:top w:w="0" w:type="dxa"/>
          <w:left w:w="0" w:type="dxa"/>
          <w:bottom w:w="0" w:type="dxa"/>
          <w:right w:w="0" w:type="dxa"/>
        </w:tblCellMar>
      </w:tblPr>
      <w:tblGrid>
        <w:gridCol w:w="5656"/>
        <w:gridCol w:w="3194"/>
      </w:tblGrid>
      <w:tr>
        <w:tblPrEx>
          <w:tblLayout w:type="fixed"/>
          <w:tblCellMar>
            <w:top w:w="0" w:type="dxa"/>
            <w:left w:w="0" w:type="dxa"/>
            <w:bottom w:w="0" w:type="dxa"/>
            <w:right w:w="0" w:type="dxa"/>
          </w:tblCellMar>
        </w:tblPrEx>
        <w:tc>
          <w:tcPr>
            <w:tcW w:w="5656"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项目</w:t>
            </w:r>
          </w:p>
        </w:tc>
        <w:tc>
          <w:tcPr>
            <w:tcW w:w="3194"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偏离情况</w:t>
            </w:r>
          </w:p>
        </w:tc>
      </w:tr>
      <w:tr>
        <w:tblPrEx>
          <w:tblLayout w:type="fixed"/>
          <w:tblCellMar>
            <w:top w:w="0" w:type="dxa"/>
            <w:left w:w="0" w:type="dxa"/>
            <w:bottom w:w="0" w:type="dxa"/>
            <w:right w:w="0" w:type="dxa"/>
          </w:tblCellMar>
        </w:tblPrEx>
        <w:tc>
          <w:tcPr>
            <w:tcW w:w="5656"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报告期内偏离度的绝对值在0.25(含)-0.5%间的次数</w:t>
            </w:r>
          </w:p>
        </w:tc>
        <w:tc>
          <w:tcPr>
            <w:tcW w:w="319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5656"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报告期内偏离度的最高值</w:t>
            </w:r>
          </w:p>
        </w:tc>
        <w:tc>
          <w:tcPr>
            <w:tcW w:w="319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0.0214%</w:t>
            </w:r>
          </w:p>
        </w:tc>
      </w:tr>
      <w:tr>
        <w:tblPrEx>
          <w:tblLayout w:type="fixed"/>
          <w:tblCellMar>
            <w:top w:w="0" w:type="dxa"/>
            <w:left w:w="0" w:type="dxa"/>
            <w:bottom w:w="0" w:type="dxa"/>
            <w:right w:w="0" w:type="dxa"/>
          </w:tblCellMar>
        </w:tblPrEx>
        <w:tc>
          <w:tcPr>
            <w:tcW w:w="5656"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报告期内偏离度的最低值</w:t>
            </w:r>
          </w:p>
        </w:tc>
        <w:tc>
          <w:tcPr>
            <w:tcW w:w="319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-0.0544%</w:t>
            </w:r>
          </w:p>
        </w:tc>
      </w:tr>
      <w:tr>
        <w:tblPrEx>
          <w:tblLayout w:type="fixed"/>
          <w:tblCellMar>
            <w:top w:w="0" w:type="dxa"/>
            <w:left w:w="0" w:type="dxa"/>
            <w:bottom w:w="0" w:type="dxa"/>
            <w:right w:w="0" w:type="dxa"/>
          </w:tblCellMar>
        </w:tblPrEx>
        <w:tc>
          <w:tcPr>
            <w:tcW w:w="5656"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报告期内每个工作日偏离度的绝对值的简单平均值</w:t>
            </w:r>
          </w:p>
        </w:tc>
        <w:tc>
          <w:tcPr>
            <w:tcW w:w="3194"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0.0093%</w:t>
            </w:r>
          </w:p>
        </w:tc>
      </w:tr>
    </w:tbl>
    <w:p>
      <w:pPr>
        <w:widowControl/>
        <w:spacing w:line="360" w:lineRule="auto"/>
        <w:ind w:left="15" w:leftChars="7" w:firstLine="480" w:firstLineChars="200"/>
        <w:jc w:val="left"/>
        <w:rPr>
          <w:rFonts w:ascii="宋体" w:hAnsi="宋体"/>
          <w:sz w:val="24"/>
        </w:rPr>
      </w:pPr>
      <w:r>
        <w:rPr>
          <w:rFonts w:hint="eastAsia" w:ascii="宋体" w:hAnsi="宋体"/>
          <w:sz w:val="24"/>
        </w:rPr>
        <w:t>报告期内负偏离度的绝对值达到0.25%情况说明:</w:t>
      </w:r>
    </w:p>
    <w:p>
      <w:pPr>
        <w:widowControl/>
        <w:spacing w:line="360" w:lineRule="auto"/>
        <w:ind w:left="7"/>
        <w:jc w:val="left"/>
        <w:rPr>
          <w:rFonts w:ascii="宋体" w:hAnsi="宋体"/>
          <w:sz w:val="24"/>
        </w:rPr>
      </w:pPr>
      <w:r>
        <w:rPr>
          <w:rFonts w:hint="eastAsia" w:ascii="宋体" w:hAnsi="宋体"/>
          <w:sz w:val="24"/>
        </w:rPr>
        <w:t>  本报告期内本货币市场基金负偏离度的绝对值未超过0.25%。</w:t>
      </w:r>
    </w:p>
    <w:p>
      <w:pPr>
        <w:widowControl/>
        <w:spacing w:line="360" w:lineRule="auto"/>
        <w:ind w:left="15" w:leftChars="7" w:firstLine="480" w:firstLineChars="200"/>
        <w:jc w:val="left"/>
        <w:rPr>
          <w:rFonts w:ascii="宋体" w:hAnsi="宋体"/>
          <w:sz w:val="24"/>
        </w:rPr>
      </w:pPr>
      <w:r>
        <w:rPr>
          <w:rFonts w:hint="eastAsia" w:ascii="宋体" w:hAnsi="宋体"/>
          <w:sz w:val="24"/>
        </w:rPr>
        <w:t>报告期内正偏离度的绝对值达到0.5%情况说明:</w:t>
      </w:r>
    </w:p>
    <w:p>
      <w:pPr>
        <w:widowControl/>
        <w:spacing w:line="360" w:lineRule="auto"/>
        <w:ind w:left="7"/>
        <w:jc w:val="left"/>
        <w:rPr>
          <w:rFonts w:ascii="微软雅黑" w:hAnsi="微软雅黑" w:eastAsia="微软雅黑" w:cs="宋体"/>
          <w:color w:val="555555"/>
          <w:kern w:val="0"/>
          <w:szCs w:val="21"/>
        </w:rPr>
      </w:pPr>
      <w:r>
        <w:rPr>
          <w:rFonts w:hint="eastAsia" w:ascii="宋体" w:hAnsi="宋体"/>
          <w:sz w:val="24"/>
        </w:rPr>
        <w:t>  本报告期内本货币市场基金正偏离度的绝对值未超过0.5%。</w:t>
      </w:r>
    </w:p>
    <w:p>
      <w:pPr>
        <w:widowControl/>
        <w:spacing w:line="360" w:lineRule="auto"/>
        <w:ind w:left="7" w:firstLine="425"/>
        <w:jc w:val="left"/>
        <w:rPr>
          <w:rFonts w:ascii="宋体" w:hAnsi="宋体"/>
          <w:sz w:val="24"/>
        </w:rPr>
      </w:pPr>
      <w:r>
        <w:rPr>
          <w:rFonts w:hint="eastAsia" w:ascii="宋体" w:hAnsi="宋体"/>
          <w:bCs/>
          <w:sz w:val="24"/>
        </w:rPr>
        <w:t>8、</w:t>
      </w:r>
      <w:r>
        <w:rPr>
          <w:rFonts w:hint="eastAsia" w:ascii="宋体" w:hAnsi="宋体"/>
          <w:sz w:val="24"/>
        </w:rPr>
        <w:t>报告期末按公允价值占基金资产净值比例大小排名的前十名资产支持证券投资明细</w:t>
      </w:r>
    </w:p>
    <w:p>
      <w:pPr>
        <w:widowControl/>
        <w:spacing w:line="360" w:lineRule="auto"/>
        <w:ind w:left="7" w:firstLine="372"/>
        <w:jc w:val="left"/>
        <w:rPr>
          <w:rFonts w:ascii="宋体" w:hAnsi="宋体"/>
          <w:sz w:val="24"/>
        </w:rPr>
      </w:pPr>
      <w:r>
        <w:rPr>
          <w:rFonts w:hint="eastAsia" w:ascii="宋体" w:hAnsi="宋体"/>
          <w:sz w:val="24"/>
        </w:rPr>
        <w:t> 本基金本报告期末未持有资产支持证券。</w:t>
      </w:r>
    </w:p>
    <w:p>
      <w:pPr>
        <w:widowControl/>
        <w:spacing w:line="360" w:lineRule="auto"/>
        <w:ind w:left="17" w:firstLine="425"/>
        <w:jc w:val="left"/>
        <w:rPr>
          <w:rFonts w:ascii="宋体" w:hAnsi="宋体"/>
          <w:sz w:val="24"/>
        </w:rPr>
      </w:pPr>
      <w:r>
        <w:rPr>
          <w:rFonts w:hint="eastAsia" w:ascii="宋体" w:hAnsi="宋体"/>
          <w:sz w:val="24"/>
        </w:rPr>
        <w:t>9、投资组合报告附注</w:t>
      </w:r>
    </w:p>
    <w:p>
      <w:pPr>
        <w:widowControl/>
        <w:spacing w:line="360" w:lineRule="auto"/>
        <w:ind w:left="17" w:firstLine="425"/>
        <w:jc w:val="left"/>
        <w:rPr>
          <w:rFonts w:ascii="宋体" w:hAnsi="宋体"/>
          <w:sz w:val="24"/>
        </w:rPr>
      </w:pPr>
      <w:r>
        <w:rPr>
          <w:rFonts w:hint="eastAsia" w:ascii="宋体" w:hAnsi="宋体"/>
          <w:sz w:val="24"/>
        </w:rPr>
        <w:t>（1）基金计价方法说明</w:t>
      </w:r>
    </w:p>
    <w:p>
      <w:pPr>
        <w:widowControl/>
        <w:spacing w:line="360" w:lineRule="auto"/>
        <w:ind w:left="17" w:firstLine="425"/>
        <w:jc w:val="left"/>
        <w:rPr>
          <w:rFonts w:ascii="宋体" w:hAnsi="宋体"/>
          <w:sz w:val="24"/>
        </w:rPr>
      </w:pPr>
      <w:r>
        <w:rPr>
          <w:rFonts w:hint="eastAsia" w:ascii="宋体" w:hAnsi="宋体"/>
          <w:sz w:val="24"/>
        </w:rPr>
        <w:t> 本基金采用摊余成本法计价，即计价对象以买入成本列示，按实际利率并考虑其买入时的溢价与折价，在其剩余期限内摊销，每日计提收益。本基金采用固定份额净值，基金账面份额净值始终保持1.00元。</w:t>
      </w:r>
    </w:p>
    <w:p>
      <w:pPr>
        <w:widowControl/>
        <w:spacing w:line="360" w:lineRule="auto"/>
        <w:ind w:left="17" w:firstLine="425"/>
        <w:jc w:val="left"/>
        <w:rPr>
          <w:rFonts w:ascii="宋体" w:hAnsi="宋体"/>
          <w:sz w:val="24"/>
        </w:rPr>
      </w:pPr>
      <w:r>
        <w:rPr>
          <w:rFonts w:hint="eastAsia" w:ascii="宋体" w:hAnsi="宋体"/>
          <w:sz w:val="24"/>
        </w:rPr>
        <w:t>（2）报告期内本基金投资的前十名证券的发行主体没有被监管部门立案调查，或在报告编制日前一年内受到公开谴责、处罚。</w:t>
      </w:r>
    </w:p>
    <w:p>
      <w:pPr>
        <w:widowControl/>
        <w:spacing w:line="360" w:lineRule="auto"/>
        <w:ind w:left="17" w:firstLine="425"/>
        <w:jc w:val="left"/>
        <w:rPr>
          <w:rFonts w:ascii="宋体" w:hAnsi="宋体"/>
          <w:sz w:val="24"/>
        </w:rPr>
      </w:pPr>
      <w:r>
        <w:rPr>
          <w:rFonts w:hint="eastAsia" w:ascii="宋体" w:hAnsi="宋体"/>
          <w:sz w:val="24"/>
        </w:rPr>
        <w:t>（3）其他资产构成</w:t>
      </w:r>
    </w:p>
    <w:tbl>
      <w:tblPr>
        <w:tblStyle w:val="33"/>
        <w:tblW w:w="8850" w:type="dxa"/>
        <w:tblInd w:w="0" w:type="dxa"/>
        <w:tblLayout w:type="fixed"/>
        <w:tblCellMar>
          <w:top w:w="0" w:type="dxa"/>
          <w:left w:w="0" w:type="dxa"/>
          <w:bottom w:w="0" w:type="dxa"/>
          <w:right w:w="0" w:type="dxa"/>
        </w:tblCellMar>
      </w:tblPr>
      <w:tblGrid>
        <w:gridCol w:w="967"/>
        <w:gridCol w:w="3728"/>
        <w:gridCol w:w="4155"/>
      </w:tblGrid>
      <w:tr>
        <w:tblPrEx>
          <w:tblLayout w:type="fixed"/>
          <w:tblCellMar>
            <w:top w:w="0" w:type="dxa"/>
            <w:left w:w="0" w:type="dxa"/>
            <w:bottom w:w="0" w:type="dxa"/>
            <w:right w:w="0" w:type="dxa"/>
          </w:tblCellMar>
        </w:tblPrEx>
        <w:tc>
          <w:tcPr>
            <w:tcW w:w="967"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序号</w:t>
            </w:r>
          </w:p>
        </w:tc>
        <w:tc>
          <w:tcPr>
            <w:tcW w:w="3728"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名称</w:t>
            </w:r>
          </w:p>
        </w:tc>
        <w:tc>
          <w:tcPr>
            <w:tcW w:w="4155" w:type="dxa"/>
            <w:tcBorders>
              <w:top w:val="single" w:color="000000" w:sz="6" w:space="0"/>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金额(元)</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存出保证金</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2</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应收证券清算款</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3</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应收利息</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14,194,018.68</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4</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应收申购款</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3,907.00</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5</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其他应收款</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6</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其他</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w:t>
            </w:r>
          </w:p>
        </w:tc>
      </w:tr>
      <w:tr>
        <w:tblPrEx>
          <w:tblLayout w:type="fixed"/>
          <w:tblCellMar>
            <w:top w:w="0" w:type="dxa"/>
            <w:left w:w="0" w:type="dxa"/>
            <w:bottom w:w="0" w:type="dxa"/>
            <w:right w:w="0" w:type="dxa"/>
          </w:tblCellMar>
        </w:tblPrEx>
        <w:tc>
          <w:tcPr>
            <w:tcW w:w="967" w:type="dxa"/>
            <w:tcBorders>
              <w:top w:val="nil"/>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7</w:t>
            </w:r>
          </w:p>
        </w:tc>
        <w:tc>
          <w:tcPr>
            <w:tcW w:w="3728"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合计</w:t>
            </w:r>
          </w:p>
        </w:tc>
        <w:tc>
          <w:tcPr>
            <w:tcW w:w="4155" w:type="dxa"/>
            <w:tcBorders>
              <w:top w:val="nil"/>
              <w:left w:val="nil"/>
              <w:bottom w:val="single" w:color="000000" w:sz="6" w:space="0"/>
              <w:right w:val="single" w:color="000000" w:sz="6" w:space="0"/>
            </w:tcBorders>
            <w:shd w:val="clear" w:color="auto" w:fill="auto"/>
            <w:tcMar>
              <w:top w:w="0" w:type="dxa"/>
              <w:left w:w="105" w:type="dxa"/>
              <w:bottom w:w="0" w:type="dxa"/>
              <w:right w:w="105" w:type="dxa"/>
            </w:tcMar>
            <w:vAlign w:val="center"/>
          </w:tcPr>
          <w:p>
            <w:pPr>
              <w:widowControl/>
              <w:spacing w:before="30" w:line="315" w:lineRule="atLeast"/>
              <w:ind w:left="15"/>
              <w:jc w:val="left"/>
              <w:rPr>
                <w:rFonts w:ascii="宋体" w:hAnsi="宋体"/>
                <w:sz w:val="24"/>
              </w:rPr>
            </w:pPr>
            <w:r>
              <w:rPr>
                <w:rFonts w:hint="eastAsia" w:ascii="宋体" w:hAnsi="宋体"/>
                <w:sz w:val="24"/>
              </w:rPr>
              <w:t>14,197,925.68</w:t>
            </w:r>
          </w:p>
        </w:tc>
      </w:tr>
    </w:tbl>
    <w:p>
      <w:pPr>
        <w:pStyle w:val="25"/>
        <w:spacing w:before="0" w:beforeAutospacing="0" w:after="0" w:afterAutospacing="0" w:line="360" w:lineRule="auto"/>
        <w:ind w:left="17" w:firstLine="480" w:firstLineChars="200"/>
        <w:rPr>
          <w:rFonts w:cs="Times New Roman"/>
          <w:kern w:val="2"/>
        </w:rPr>
      </w:pPr>
      <w:r>
        <w:rPr>
          <w:rFonts w:hint="eastAsia" w:cs="Times New Roman"/>
          <w:kern w:val="2"/>
        </w:rPr>
        <w:t>（4）</w:t>
      </w:r>
      <w:r>
        <w:rPr>
          <w:rFonts w:hint="eastAsia" w:cs="Times New Roman"/>
          <w:bCs/>
          <w:kern w:val="2"/>
        </w:rPr>
        <w:t>投资组合报告附注的其他文字描述</w:t>
      </w:r>
    </w:p>
    <w:p>
      <w:pPr>
        <w:pStyle w:val="25"/>
        <w:spacing w:before="0" w:beforeAutospacing="0" w:after="0" w:afterAutospacing="0" w:line="360" w:lineRule="auto"/>
        <w:ind w:left="17"/>
        <w:rPr>
          <w:rFonts w:cs="Times New Roman"/>
          <w:kern w:val="2"/>
        </w:rPr>
      </w:pPr>
      <w:r>
        <w:rPr>
          <w:rFonts w:hint="eastAsia" w:cs="Times New Roman"/>
          <w:kern w:val="2"/>
        </w:rPr>
        <w:t>   由于四舍五入的原因，分项之和与合计项之间可能存在尾差。</w:t>
      </w:r>
    </w:p>
    <w:p>
      <w:pPr>
        <w:widowControl/>
        <w:spacing w:line="360" w:lineRule="auto"/>
        <w:ind w:left="17" w:firstLine="372"/>
        <w:jc w:val="left"/>
        <w:rPr>
          <w:rFonts w:ascii="宋体" w:hAnsi="宋体"/>
          <w:sz w:val="24"/>
        </w:rPr>
      </w:pPr>
      <w:r>
        <w:rPr>
          <w:rFonts w:hint="eastAsia" w:ascii="宋体" w:hAnsi="宋体"/>
          <w:sz w:val="24"/>
        </w:rPr>
        <w:t>（九）开放式基金份额变动</w:t>
      </w:r>
    </w:p>
    <w:p>
      <w:pPr>
        <w:widowControl/>
        <w:autoSpaceDE w:val="0"/>
        <w:autoSpaceDN w:val="0"/>
        <w:adjustRightInd w:val="0"/>
        <w:spacing w:line="360" w:lineRule="auto"/>
        <w:jc w:val="right"/>
        <w:rPr>
          <w:rFonts w:ascii="宋体" w:hAnsi="宋体" w:cs="宋体"/>
          <w:kern w:val="0"/>
          <w:sz w:val="24"/>
        </w:rPr>
      </w:pPr>
      <w:r>
        <w:rPr>
          <w:rFonts w:hint="eastAsia" w:ascii="宋体" w:cs="宋体"/>
          <w:color w:val="000000"/>
          <w:kern w:val="0"/>
          <w:sz w:val="24"/>
        </w:rPr>
        <w:t>单位：份</w:t>
      </w:r>
    </w:p>
    <w:tbl>
      <w:tblPr>
        <w:tblStyle w:val="33"/>
        <w:tblW w:w="9045" w:type="dxa"/>
        <w:tblInd w:w="108" w:type="dxa"/>
        <w:tblLayout w:type="fixed"/>
        <w:tblCellMar>
          <w:top w:w="0" w:type="dxa"/>
          <w:left w:w="108" w:type="dxa"/>
          <w:bottom w:w="0" w:type="dxa"/>
          <w:right w:w="108" w:type="dxa"/>
        </w:tblCellMar>
      </w:tblPr>
      <w:tblGrid>
        <w:gridCol w:w="4009"/>
        <w:gridCol w:w="2369"/>
        <w:gridCol w:w="2667"/>
      </w:tblGrid>
      <w:tr>
        <w:tblPrEx>
          <w:tblLayout w:type="fixed"/>
          <w:tblCellMar>
            <w:top w:w="0" w:type="dxa"/>
            <w:left w:w="108" w:type="dxa"/>
            <w:bottom w:w="0" w:type="dxa"/>
            <w:right w:w="108" w:type="dxa"/>
          </w:tblCellMar>
        </w:tblPrEx>
        <w:tc>
          <w:tcPr>
            <w:tcW w:w="4009" w:type="dxa"/>
            <w:tcBorders>
              <w:top w:val="single" w:color="000000" w:sz="8" w:space="0"/>
              <w:left w:val="single" w:color="000000" w:sz="8" w:space="0"/>
              <w:bottom w:val="single" w:color="000000" w:sz="6" w:space="0"/>
              <w:right w:val="single" w:color="000000" w:sz="8" w:space="0"/>
            </w:tcBorders>
            <w:vAlign w:val="center"/>
          </w:tcPr>
          <w:p>
            <w:pPr>
              <w:widowControl/>
              <w:jc w:val="left"/>
              <w:rPr>
                <w:kern w:val="0"/>
                <w:sz w:val="20"/>
                <w:szCs w:val="20"/>
              </w:rPr>
            </w:pPr>
          </w:p>
        </w:tc>
        <w:tc>
          <w:tcPr>
            <w:tcW w:w="2369"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pPr>
            <w:r>
              <w:rPr>
                <w:rFonts w:hint="eastAsia" w:cs="Times New Roman"/>
                <w:kern w:val="2"/>
              </w:rPr>
              <w:t>富荣货币A</w:t>
            </w:r>
          </w:p>
        </w:tc>
        <w:tc>
          <w:tcPr>
            <w:tcW w:w="2667"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pPr>
            <w:r>
              <w:rPr>
                <w:rFonts w:hint="eastAsia" w:cs="Times New Roman"/>
                <w:kern w:val="2"/>
              </w:rPr>
              <w:t>富荣货币B</w:t>
            </w:r>
          </w:p>
        </w:tc>
      </w:tr>
      <w:tr>
        <w:tblPrEx>
          <w:tblLayout w:type="fixed"/>
          <w:tblCellMar>
            <w:top w:w="0" w:type="dxa"/>
            <w:left w:w="108" w:type="dxa"/>
            <w:bottom w:w="0" w:type="dxa"/>
            <w:right w:w="108" w:type="dxa"/>
          </w:tblCellMar>
        </w:tblPrEx>
        <w:tc>
          <w:tcPr>
            <w:tcW w:w="4009" w:type="dxa"/>
            <w:tcBorders>
              <w:top w:val="single" w:color="000000" w:sz="8" w:space="0"/>
              <w:left w:val="single" w:color="000000" w:sz="8" w:space="0"/>
              <w:bottom w:val="single" w:color="000000" w:sz="6" w:space="0"/>
              <w:right w:val="single" w:color="000000" w:sz="8" w:space="0"/>
            </w:tcBorders>
            <w:vAlign w:val="center"/>
          </w:tcPr>
          <w:p>
            <w:pPr>
              <w:widowControl/>
              <w:spacing w:before="30" w:line="315" w:lineRule="atLeast"/>
              <w:ind w:left="15"/>
              <w:jc w:val="left"/>
            </w:pPr>
            <w:r>
              <w:rPr>
                <w:rFonts w:hint="eastAsia" w:ascii="宋体" w:hAnsi="宋体"/>
                <w:sz w:val="24"/>
              </w:rPr>
              <w:t>报告期期初基金份额总额</w:t>
            </w:r>
          </w:p>
        </w:tc>
        <w:tc>
          <w:tcPr>
            <w:tcW w:w="2369"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cs="Times New Roman"/>
                <w:kern w:val="2"/>
              </w:rPr>
              <w:t>197,688,722.98</w:t>
            </w:r>
          </w:p>
        </w:tc>
        <w:tc>
          <w:tcPr>
            <w:tcW w:w="2667"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cs="Times New Roman"/>
                <w:kern w:val="2"/>
              </w:rPr>
            </w:pPr>
            <w:r>
              <w:rPr>
                <w:rFonts w:hint="eastAsia" w:cs="Times New Roman"/>
                <w:kern w:val="2"/>
              </w:rPr>
              <w:t>2,910,059,324.23</w:t>
            </w:r>
          </w:p>
        </w:tc>
      </w:tr>
      <w:tr>
        <w:tblPrEx>
          <w:tblLayout w:type="fixed"/>
          <w:tblCellMar>
            <w:top w:w="0" w:type="dxa"/>
            <w:left w:w="108" w:type="dxa"/>
            <w:bottom w:w="0" w:type="dxa"/>
            <w:right w:w="108" w:type="dxa"/>
          </w:tblCellMar>
        </w:tblPrEx>
        <w:tc>
          <w:tcPr>
            <w:tcW w:w="4009"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pPr>
            <w:r>
              <w:rPr>
                <w:rFonts w:hint="eastAsia" w:cs="Times New Roman"/>
                <w:kern w:val="2"/>
              </w:rPr>
              <w:t>报告期期间基金总申购份额</w:t>
            </w:r>
          </w:p>
        </w:tc>
        <w:tc>
          <w:tcPr>
            <w:tcW w:w="2369"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hAnsi="Calibri"/>
                <w:color w:val="000000"/>
              </w:rPr>
              <w:t>4</w:t>
            </w:r>
            <w:r>
              <w:rPr>
                <w:rFonts w:hint="eastAsia" w:cs="Times New Roman"/>
                <w:kern w:val="2"/>
              </w:rPr>
              <w:t>0,885,047.03</w:t>
            </w:r>
          </w:p>
        </w:tc>
        <w:tc>
          <w:tcPr>
            <w:tcW w:w="2667"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hAnsi="Calibri"/>
                <w:color w:val="000000"/>
              </w:rPr>
              <w:t>3,713,586,571.11</w:t>
            </w:r>
          </w:p>
        </w:tc>
      </w:tr>
      <w:tr>
        <w:tblPrEx>
          <w:tblLayout w:type="fixed"/>
          <w:tblCellMar>
            <w:top w:w="0" w:type="dxa"/>
            <w:left w:w="108" w:type="dxa"/>
            <w:bottom w:w="0" w:type="dxa"/>
            <w:right w:w="108" w:type="dxa"/>
          </w:tblCellMar>
        </w:tblPrEx>
        <w:tc>
          <w:tcPr>
            <w:tcW w:w="4009"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pPr>
            <w:r>
              <w:rPr>
                <w:rFonts w:hint="eastAsia" w:cs="Times New Roman"/>
                <w:kern w:val="2"/>
              </w:rPr>
              <w:t>报告期期间基金总赎回份额</w:t>
            </w:r>
          </w:p>
        </w:tc>
        <w:tc>
          <w:tcPr>
            <w:tcW w:w="2369"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cs="Times New Roman"/>
                <w:kern w:val="2"/>
              </w:rPr>
              <w:t>200,660,107.23</w:t>
            </w:r>
          </w:p>
        </w:tc>
        <w:tc>
          <w:tcPr>
            <w:tcW w:w="2667"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cs="Times New Roman"/>
                <w:kern w:val="2"/>
              </w:rPr>
              <w:t>3,538,256,753.73</w:t>
            </w:r>
          </w:p>
        </w:tc>
      </w:tr>
      <w:tr>
        <w:tblPrEx>
          <w:tblLayout w:type="fixed"/>
          <w:tblCellMar>
            <w:top w:w="0" w:type="dxa"/>
            <w:left w:w="108" w:type="dxa"/>
            <w:bottom w:w="0" w:type="dxa"/>
            <w:right w:w="108" w:type="dxa"/>
          </w:tblCellMar>
        </w:tblPrEx>
        <w:tc>
          <w:tcPr>
            <w:tcW w:w="4009"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pPr>
            <w:r>
              <w:rPr>
                <w:rFonts w:hint="eastAsia" w:cs="Times New Roman"/>
                <w:kern w:val="2"/>
              </w:rPr>
              <w:t>报告期期末基金份额总额</w:t>
            </w:r>
          </w:p>
        </w:tc>
        <w:tc>
          <w:tcPr>
            <w:tcW w:w="2369"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cs="Times New Roman"/>
                <w:kern w:val="2"/>
              </w:rPr>
              <w:t>37,913,662.78</w:t>
            </w:r>
          </w:p>
        </w:tc>
        <w:tc>
          <w:tcPr>
            <w:tcW w:w="2667"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pPr>
            <w:r>
              <w:rPr>
                <w:rFonts w:hint="eastAsia" w:cs="Times New Roman"/>
                <w:kern w:val="2"/>
              </w:rPr>
              <w:t>3,085,389,141.61</w:t>
            </w:r>
          </w:p>
        </w:tc>
      </w:tr>
    </w:tbl>
    <w:p>
      <w:pPr>
        <w:widowControl/>
        <w:spacing w:line="360" w:lineRule="auto"/>
        <w:ind w:left="17" w:firstLine="374"/>
        <w:jc w:val="left"/>
        <w:rPr>
          <w:rFonts w:ascii="宋体" w:hAnsi="宋体"/>
          <w:sz w:val="24"/>
        </w:rPr>
      </w:pPr>
      <w:r>
        <w:rPr>
          <w:rFonts w:hint="eastAsia" w:ascii="宋体" w:hAnsi="宋体"/>
          <w:sz w:val="24"/>
        </w:rPr>
        <w:t>（十）基金管理人运用固有资金投资本基金交易明细</w:t>
      </w:r>
    </w:p>
    <w:tbl>
      <w:tblPr>
        <w:tblStyle w:val="33"/>
        <w:tblW w:w="9072" w:type="dxa"/>
        <w:tblInd w:w="108" w:type="dxa"/>
        <w:tblLayout w:type="fixed"/>
        <w:tblCellMar>
          <w:top w:w="0" w:type="dxa"/>
          <w:left w:w="108" w:type="dxa"/>
          <w:bottom w:w="0" w:type="dxa"/>
          <w:right w:w="108" w:type="dxa"/>
        </w:tblCellMar>
      </w:tblPr>
      <w:tblGrid>
        <w:gridCol w:w="796"/>
        <w:gridCol w:w="1460"/>
        <w:gridCol w:w="1637"/>
        <w:gridCol w:w="1777"/>
        <w:gridCol w:w="1843"/>
        <w:gridCol w:w="1559"/>
      </w:tblGrid>
      <w:tr>
        <w:tblPrEx>
          <w:tblLayout w:type="fixed"/>
        </w:tblPrEx>
        <w:tc>
          <w:tcPr>
            <w:tcW w:w="796" w:type="dxa"/>
            <w:tcBorders>
              <w:top w:val="single" w:color="000000" w:sz="8" w:space="0"/>
              <w:left w:val="single" w:color="000000" w:sz="8" w:space="0"/>
              <w:bottom w:val="single" w:color="000000" w:sz="6" w:space="0"/>
              <w:right w:val="single" w:color="000000" w:sz="8" w:space="0"/>
            </w:tcBorders>
            <w:vAlign w:val="center"/>
          </w:tcPr>
          <w:p>
            <w:pPr>
              <w:pStyle w:val="74"/>
              <w:spacing w:line="360" w:lineRule="auto"/>
            </w:pPr>
            <w:r>
              <w:rPr>
                <w:rFonts w:hint="eastAsia" w:cs="Times New Roman"/>
                <w:kern w:val="2"/>
              </w:rPr>
              <w:t>序号</w:t>
            </w:r>
          </w:p>
        </w:tc>
        <w:tc>
          <w:tcPr>
            <w:tcW w:w="1460" w:type="dxa"/>
            <w:tcBorders>
              <w:top w:val="single" w:color="000000" w:sz="8" w:space="0"/>
              <w:left w:val="single" w:color="000000" w:sz="8" w:space="0"/>
              <w:bottom w:val="single" w:color="000000" w:sz="6" w:space="0"/>
              <w:right w:val="single" w:color="000000" w:sz="8" w:space="0"/>
            </w:tcBorders>
            <w:vAlign w:val="center"/>
          </w:tcPr>
          <w:p>
            <w:pPr>
              <w:pStyle w:val="74"/>
              <w:spacing w:line="360" w:lineRule="auto"/>
              <w:rPr>
                <w:rFonts w:cs="Times New Roman"/>
                <w:kern w:val="2"/>
              </w:rPr>
            </w:pPr>
            <w:r>
              <w:rPr>
                <w:rFonts w:hint="eastAsia" w:cs="Times New Roman"/>
                <w:kern w:val="2"/>
              </w:rPr>
              <w:t>交易方式</w:t>
            </w:r>
          </w:p>
        </w:tc>
        <w:tc>
          <w:tcPr>
            <w:tcW w:w="1637" w:type="dxa"/>
            <w:tcBorders>
              <w:top w:val="single" w:color="000000" w:sz="8" w:space="0"/>
              <w:left w:val="single" w:color="000000" w:sz="8" w:space="0"/>
              <w:bottom w:val="single" w:color="000000" w:sz="6" w:space="0"/>
              <w:right w:val="single" w:color="000000" w:sz="8" w:space="0"/>
            </w:tcBorders>
            <w:vAlign w:val="center"/>
          </w:tcPr>
          <w:p>
            <w:pPr>
              <w:pStyle w:val="74"/>
              <w:spacing w:line="360" w:lineRule="auto"/>
              <w:rPr>
                <w:rFonts w:cs="Times New Roman"/>
                <w:kern w:val="2"/>
              </w:rPr>
            </w:pPr>
            <w:r>
              <w:rPr>
                <w:rFonts w:hint="eastAsia" w:cs="Times New Roman"/>
                <w:kern w:val="2"/>
              </w:rPr>
              <w:t>交易日期</w:t>
            </w:r>
          </w:p>
        </w:tc>
        <w:tc>
          <w:tcPr>
            <w:tcW w:w="1777" w:type="dxa"/>
            <w:tcBorders>
              <w:top w:val="single" w:color="000000" w:sz="8" w:space="0"/>
              <w:left w:val="single" w:color="000000" w:sz="8" w:space="0"/>
              <w:bottom w:val="single" w:color="000000" w:sz="6" w:space="0"/>
              <w:right w:val="single" w:color="000000" w:sz="8" w:space="0"/>
            </w:tcBorders>
            <w:vAlign w:val="center"/>
          </w:tcPr>
          <w:p>
            <w:pPr>
              <w:pStyle w:val="74"/>
              <w:spacing w:line="360" w:lineRule="auto"/>
              <w:rPr>
                <w:rFonts w:cs="Times New Roman"/>
                <w:kern w:val="2"/>
              </w:rPr>
            </w:pPr>
            <w:r>
              <w:rPr>
                <w:rFonts w:hint="eastAsia" w:cs="Times New Roman"/>
                <w:kern w:val="2"/>
              </w:rPr>
              <w:t>交易份额</w:t>
            </w:r>
          </w:p>
        </w:tc>
        <w:tc>
          <w:tcPr>
            <w:tcW w:w="1843" w:type="dxa"/>
            <w:tcBorders>
              <w:top w:val="single" w:color="000000" w:sz="8" w:space="0"/>
              <w:left w:val="single" w:color="000000" w:sz="8" w:space="0"/>
              <w:bottom w:val="single" w:color="000000" w:sz="6" w:space="0"/>
              <w:right w:val="single" w:color="000000" w:sz="8" w:space="0"/>
            </w:tcBorders>
            <w:vAlign w:val="center"/>
          </w:tcPr>
          <w:p>
            <w:pPr>
              <w:pStyle w:val="74"/>
              <w:spacing w:line="360" w:lineRule="auto"/>
              <w:rPr>
                <w:rFonts w:cs="Times New Roman"/>
                <w:kern w:val="2"/>
              </w:rPr>
            </w:pPr>
            <w:r>
              <w:rPr>
                <w:rFonts w:hint="eastAsia" w:cs="Times New Roman"/>
                <w:kern w:val="2"/>
              </w:rPr>
              <w:t>交易金额</w:t>
            </w:r>
          </w:p>
        </w:tc>
        <w:tc>
          <w:tcPr>
            <w:tcW w:w="1559" w:type="dxa"/>
            <w:tcBorders>
              <w:top w:val="single" w:color="000000" w:sz="8" w:space="0"/>
              <w:left w:val="single" w:color="000000" w:sz="8" w:space="0"/>
              <w:bottom w:val="single" w:color="000000" w:sz="6" w:space="0"/>
              <w:right w:val="single" w:color="000000" w:sz="8" w:space="0"/>
            </w:tcBorders>
            <w:vAlign w:val="center"/>
          </w:tcPr>
          <w:p>
            <w:pPr>
              <w:pStyle w:val="74"/>
              <w:spacing w:line="360" w:lineRule="auto"/>
              <w:rPr>
                <w:rFonts w:cs="Times New Roman"/>
                <w:kern w:val="2"/>
              </w:rPr>
            </w:pPr>
            <w:r>
              <w:rPr>
                <w:rFonts w:hint="eastAsia" w:cs="Times New Roman"/>
                <w:kern w:val="2"/>
              </w:rPr>
              <w:t>适用费率</w:t>
            </w:r>
          </w:p>
        </w:tc>
      </w:tr>
      <w:tr>
        <w:tblPrEx>
          <w:tblLayout w:type="fixed"/>
        </w:tblPrEx>
        <w:tc>
          <w:tcPr>
            <w:tcW w:w="796" w:type="dxa"/>
            <w:tcBorders>
              <w:top w:val="single" w:color="000000" w:sz="8" w:space="0"/>
              <w:left w:val="single" w:color="000000" w:sz="8" w:space="0"/>
              <w:bottom w:val="single" w:color="000000" w:sz="6" w:space="0"/>
              <w:right w:val="single" w:color="000000" w:sz="8" w:space="0"/>
            </w:tcBorders>
            <w:vAlign w:val="center"/>
          </w:tcPr>
          <w:p>
            <w:pPr>
              <w:pStyle w:val="73"/>
              <w:spacing w:line="360" w:lineRule="auto"/>
              <w:jc w:val="center"/>
              <w:rPr>
                <w:rFonts w:cs="Times New Roman"/>
                <w:kern w:val="2"/>
              </w:rPr>
            </w:pPr>
            <w:r>
              <w:rPr>
                <w:rFonts w:hint="eastAsia" w:cs="Times New Roman"/>
                <w:kern w:val="2"/>
              </w:rPr>
              <w:t>1</w:t>
            </w:r>
          </w:p>
        </w:tc>
        <w:tc>
          <w:tcPr>
            <w:tcW w:w="1460" w:type="dxa"/>
            <w:tcBorders>
              <w:top w:val="single" w:color="000000" w:sz="8" w:space="0"/>
              <w:left w:val="single" w:color="000000" w:sz="8" w:space="0"/>
              <w:bottom w:val="single" w:color="000000" w:sz="6" w:space="0"/>
              <w:right w:val="single" w:color="000000" w:sz="8" w:space="0"/>
            </w:tcBorders>
            <w:vAlign w:val="center"/>
          </w:tcPr>
          <w:p>
            <w:pPr>
              <w:pStyle w:val="73"/>
              <w:spacing w:line="360" w:lineRule="auto"/>
              <w:jc w:val="center"/>
              <w:rPr>
                <w:rFonts w:cs="Times New Roman"/>
                <w:kern w:val="2"/>
              </w:rPr>
            </w:pPr>
            <w:r>
              <w:rPr>
                <w:rFonts w:hint="eastAsia" w:cs="Times New Roman"/>
                <w:kern w:val="2"/>
              </w:rPr>
              <w:t>赎回</w:t>
            </w:r>
          </w:p>
        </w:tc>
        <w:tc>
          <w:tcPr>
            <w:tcW w:w="1637"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2017-01-13</w:t>
            </w:r>
          </w:p>
        </w:tc>
        <w:tc>
          <w:tcPr>
            <w:tcW w:w="1777"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1,500,000.00</w:t>
            </w:r>
          </w:p>
        </w:tc>
        <w:tc>
          <w:tcPr>
            <w:tcW w:w="1843"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1,500,000.00</w:t>
            </w:r>
          </w:p>
        </w:tc>
        <w:tc>
          <w:tcPr>
            <w:tcW w:w="1559"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w:t>
            </w:r>
          </w:p>
        </w:tc>
      </w:tr>
      <w:tr>
        <w:tblPrEx>
          <w:tblLayout w:type="fixed"/>
        </w:tblPrEx>
        <w:tc>
          <w:tcPr>
            <w:tcW w:w="796"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jc w:val="center"/>
              <w:rPr>
                <w:rFonts w:cs="Times New Roman"/>
                <w:kern w:val="2"/>
              </w:rPr>
            </w:pPr>
            <w:r>
              <w:rPr>
                <w:rFonts w:hint="eastAsia" w:cs="Times New Roman"/>
                <w:kern w:val="2"/>
              </w:rPr>
              <w:t>2</w:t>
            </w:r>
          </w:p>
        </w:tc>
        <w:tc>
          <w:tcPr>
            <w:tcW w:w="1460"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jc w:val="center"/>
              <w:rPr>
                <w:rFonts w:cs="Times New Roman"/>
                <w:kern w:val="2"/>
              </w:rPr>
            </w:pPr>
            <w:r>
              <w:rPr>
                <w:rFonts w:hint="eastAsia" w:cs="Times New Roman"/>
                <w:kern w:val="2"/>
              </w:rPr>
              <w:t>赎回</w:t>
            </w:r>
          </w:p>
        </w:tc>
        <w:tc>
          <w:tcPr>
            <w:tcW w:w="1637"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2017-02-27</w:t>
            </w:r>
          </w:p>
        </w:tc>
        <w:tc>
          <w:tcPr>
            <w:tcW w:w="1777"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2,000,000.00</w:t>
            </w:r>
          </w:p>
        </w:tc>
        <w:tc>
          <w:tcPr>
            <w:tcW w:w="1843"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2,000,000.00</w:t>
            </w:r>
          </w:p>
        </w:tc>
        <w:tc>
          <w:tcPr>
            <w:tcW w:w="1559"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w:t>
            </w:r>
          </w:p>
        </w:tc>
      </w:tr>
      <w:tr>
        <w:tblPrEx>
          <w:tblLayout w:type="fixed"/>
        </w:tblPrEx>
        <w:tc>
          <w:tcPr>
            <w:tcW w:w="796"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jc w:val="center"/>
              <w:rPr>
                <w:rFonts w:cs="Times New Roman"/>
                <w:kern w:val="2"/>
              </w:rPr>
            </w:pPr>
            <w:r>
              <w:rPr>
                <w:rFonts w:hint="eastAsia" w:cs="Times New Roman"/>
                <w:kern w:val="2"/>
              </w:rPr>
              <w:t>3</w:t>
            </w:r>
          </w:p>
        </w:tc>
        <w:tc>
          <w:tcPr>
            <w:tcW w:w="1460"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jc w:val="center"/>
              <w:rPr>
                <w:rFonts w:cs="Times New Roman"/>
                <w:kern w:val="2"/>
              </w:rPr>
            </w:pPr>
            <w:r>
              <w:rPr>
                <w:rFonts w:hint="eastAsia" w:cs="Times New Roman"/>
                <w:kern w:val="2"/>
              </w:rPr>
              <w:t>赎回</w:t>
            </w:r>
          </w:p>
        </w:tc>
        <w:tc>
          <w:tcPr>
            <w:tcW w:w="1637"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2017-03-30</w:t>
            </w:r>
          </w:p>
        </w:tc>
        <w:tc>
          <w:tcPr>
            <w:tcW w:w="1777"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2,000,000.00</w:t>
            </w:r>
          </w:p>
        </w:tc>
        <w:tc>
          <w:tcPr>
            <w:tcW w:w="1843"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2,000,000.00</w:t>
            </w:r>
          </w:p>
        </w:tc>
        <w:tc>
          <w:tcPr>
            <w:tcW w:w="1559" w:type="dxa"/>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cs="Times New Roman"/>
                <w:kern w:val="2"/>
              </w:rPr>
            </w:pPr>
            <w:r>
              <w:rPr>
                <w:rFonts w:hint="eastAsia" w:cs="Times New Roman"/>
                <w:kern w:val="2"/>
              </w:rPr>
              <w:t>-</w:t>
            </w:r>
          </w:p>
        </w:tc>
      </w:tr>
      <w:tr>
        <w:tblPrEx>
          <w:tblLayout w:type="fixed"/>
        </w:tblPrEx>
        <w:tc>
          <w:tcPr>
            <w:tcW w:w="796"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cs="Times New Roman"/>
                <w:kern w:val="2"/>
              </w:rPr>
            </w:pPr>
            <w:r>
              <w:rPr>
                <w:rFonts w:hint="eastAsia" w:cs="Times New Roman"/>
                <w:kern w:val="2"/>
              </w:rPr>
              <w:t>合计</w:t>
            </w:r>
          </w:p>
        </w:tc>
        <w:tc>
          <w:tcPr>
            <w:tcW w:w="1460" w:type="dxa"/>
            <w:tcBorders>
              <w:top w:val="single" w:color="000000" w:sz="8" w:space="0"/>
              <w:left w:val="single" w:color="000000" w:sz="8" w:space="0"/>
              <w:bottom w:val="single" w:color="000000" w:sz="6" w:space="0"/>
              <w:right w:val="single" w:color="000000" w:sz="8" w:space="0"/>
            </w:tcBorders>
            <w:vAlign w:val="center"/>
          </w:tcPr>
          <w:p>
            <w:pPr>
              <w:widowControl/>
              <w:jc w:val="left"/>
              <w:rPr>
                <w:rFonts w:ascii="宋体" w:hAnsi="宋体"/>
                <w:sz w:val="24"/>
              </w:rPr>
            </w:pPr>
          </w:p>
        </w:tc>
        <w:tc>
          <w:tcPr>
            <w:tcW w:w="1637" w:type="dxa"/>
            <w:tcBorders>
              <w:top w:val="single" w:color="000000" w:sz="8" w:space="0"/>
              <w:left w:val="single" w:color="000000" w:sz="8" w:space="0"/>
              <w:bottom w:val="single" w:color="000000" w:sz="6" w:space="0"/>
              <w:right w:val="single" w:color="000000" w:sz="8" w:space="0"/>
            </w:tcBorders>
            <w:vAlign w:val="center"/>
          </w:tcPr>
          <w:p>
            <w:pPr>
              <w:widowControl/>
              <w:jc w:val="left"/>
              <w:rPr>
                <w:rFonts w:ascii="宋体" w:hAnsi="宋体"/>
                <w:sz w:val="24"/>
              </w:rPr>
            </w:pPr>
          </w:p>
        </w:tc>
        <w:tc>
          <w:tcPr>
            <w:tcW w:w="1777"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cs="Times New Roman"/>
                <w:kern w:val="2"/>
              </w:rPr>
            </w:pPr>
            <w:r>
              <w:rPr>
                <w:rFonts w:hint="eastAsia" w:cs="Times New Roman"/>
                <w:kern w:val="2"/>
              </w:rPr>
              <w:t>5,500,000.00</w:t>
            </w:r>
          </w:p>
        </w:tc>
        <w:tc>
          <w:tcPr>
            <w:tcW w:w="1843"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cs="Times New Roman"/>
                <w:kern w:val="2"/>
              </w:rPr>
            </w:pPr>
            <w:r>
              <w:rPr>
                <w:rFonts w:hint="eastAsia" w:cs="Times New Roman"/>
                <w:kern w:val="2"/>
              </w:rPr>
              <w:t>5,500,000.00</w:t>
            </w:r>
          </w:p>
        </w:tc>
        <w:tc>
          <w:tcPr>
            <w:tcW w:w="1559" w:type="dxa"/>
            <w:tcBorders>
              <w:top w:val="single" w:color="000000" w:sz="8" w:space="0"/>
              <w:left w:val="single" w:color="000000" w:sz="8" w:space="0"/>
              <w:bottom w:val="single" w:color="000000" w:sz="6" w:space="0"/>
              <w:right w:val="single" w:color="000000" w:sz="8" w:space="0"/>
            </w:tcBorders>
            <w:vAlign w:val="center"/>
          </w:tcPr>
          <w:p>
            <w:pPr>
              <w:widowControl/>
              <w:jc w:val="left"/>
              <w:rPr>
                <w:rFonts w:ascii="宋体" w:hAnsi="宋体"/>
                <w:sz w:val="24"/>
              </w:rPr>
            </w:pPr>
          </w:p>
        </w:tc>
      </w:tr>
    </w:tbl>
    <w:p>
      <w:pPr>
        <w:widowControl/>
        <w:spacing w:line="360" w:lineRule="auto"/>
        <w:ind w:left="15" w:firstLine="372"/>
        <w:jc w:val="left"/>
        <w:rPr>
          <w:rFonts w:ascii="宋体" w:hAnsi="宋体"/>
          <w:sz w:val="24"/>
        </w:rPr>
      </w:pPr>
      <w:r>
        <w:rPr>
          <w:rFonts w:hint="eastAsia" w:ascii="宋体" w:hAnsi="宋体"/>
          <w:sz w:val="24"/>
        </w:rPr>
        <w:t>（十一）影响投资者决策的其他重要信息</w:t>
      </w:r>
    </w:p>
    <w:p>
      <w:pPr>
        <w:pStyle w:val="71"/>
        <w:widowControl/>
        <w:numPr>
          <w:ilvl w:val="255"/>
          <w:numId w:val="0"/>
        </w:numPr>
        <w:spacing w:line="360" w:lineRule="auto"/>
        <w:ind w:left="387" w:firstLine="480"/>
        <w:jc w:val="left"/>
        <w:rPr>
          <w:rFonts w:ascii="宋体" w:hAnsi="宋体"/>
          <w:sz w:val="24"/>
        </w:rPr>
      </w:pPr>
      <w:r>
        <w:rPr>
          <w:rFonts w:hint="eastAsia" w:ascii="宋体" w:hAnsi="宋体"/>
          <w:sz w:val="24"/>
        </w:rPr>
        <w:t>1、报告期内单一投资者持有基金份额比例达到或超过</w:t>
      </w:r>
      <w:r>
        <w:rPr>
          <w:rFonts w:ascii="宋体" w:hAnsi="宋体"/>
          <w:sz w:val="24"/>
        </w:rPr>
        <w:t>20%</w:t>
      </w:r>
      <w:r>
        <w:rPr>
          <w:rFonts w:hint="eastAsia" w:ascii="宋体" w:hAnsi="宋体"/>
          <w:sz w:val="24"/>
        </w:rPr>
        <w:t>的情况</w:t>
      </w:r>
    </w:p>
    <w:tbl>
      <w:tblPr>
        <w:tblStyle w:val="33"/>
        <w:tblW w:w="11199" w:type="dxa"/>
        <w:tblInd w:w="-1026" w:type="dxa"/>
        <w:tblLayout w:type="fixed"/>
        <w:tblCellMar>
          <w:top w:w="0" w:type="dxa"/>
          <w:left w:w="108" w:type="dxa"/>
          <w:bottom w:w="0" w:type="dxa"/>
          <w:right w:w="108" w:type="dxa"/>
        </w:tblCellMar>
      </w:tblPr>
      <w:tblGrid>
        <w:gridCol w:w="425"/>
        <w:gridCol w:w="425"/>
        <w:gridCol w:w="1844"/>
        <w:gridCol w:w="1984"/>
        <w:gridCol w:w="1985"/>
        <w:gridCol w:w="1984"/>
        <w:gridCol w:w="1701"/>
        <w:gridCol w:w="851"/>
      </w:tblGrid>
      <w:tr>
        <w:tblPrEx>
          <w:tblLayout w:type="fixed"/>
          <w:tblCellMar>
            <w:top w:w="0" w:type="dxa"/>
            <w:left w:w="108" w:type="dxa"/>
            <w:bottom w:w="0" w:type="dxa"/>
            <w:right w:w="108" w:type="dxa"/>
          </w:tblCellMar>
        </w:tblPrEx>
        <w:tc>
          <w:tcPr>
            <w:tcW w:w="425" w:type="dxa"/>
            <w:vMerge w:val="restart"/>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b/>
                <w:color w:val="000000"/>
                <w:sz w:val="21"/>
                <w:szCs w:val="21"/>
              </w:rPr>
              <w:t>投资者类别</w:t>
            </w:r>
          </w:p>
        </w:tc>
        <w:tc>
          <w:tcPr>
            <w:tcW w:w="8222" w:type="dxa"/>
            <w:gridSpan w:val="5"/>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color w:val="000000"/>
                <w:sz w:val="21"/>
                <w:szCs w:val="21"/>
              </w:rPr>
              <w:t>报告期内持有基金份额变化情况</w:t>
            </w:r>
          </w:p>
        </w:tc>
        <w:tc>
          <w:tcPr>
            <w:tcW w:w="2552" w:type="dxa"/>
            <w:gridSpan w:val="2"/>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color w:val="000000"/>
                <w:sz w:val="21"/>
                <w:szCs w:val="21"/>
              </w:rPr>
              <w:t>报告期末持有基金情况</w:t>
            </w:r>
          </w:p>
        </w:tc>
      </w:tr>
      <w:tr>
        <w:tblPrEx>
          <w:tblLayout w:type="fixed"/>
          <w:tblCellMar>
            <w:top w:w="0" w:type="dxa"/>
            <w:left w:w="108" w:type="dxa"/>
            <w:bottom w:w="0" w:type="dxa"/>
            <w:right w:w="108" w:type="dxa"/>
          </w:tblCellMar>
        </w:tblPrEx>
        <w:tc>
          <w:tcPr>
            <w:tcW w:w="425" w:type="dxa"/>
            <w:vMerge w:val="continue"/>
            <w:tcBorders>
              <w:top w:val="single" w:color="000000" w:sz="8" w:space="0"/>
              <w:left w:val="single" w:color="000000" w:sz="8" w:space="0"/>
              <w:bottom w:val="single" w:color="000000" w:sz="6" w:space="0"/>
              <w:right w:val="single" w:color="000000" w:sz="8" w:space="0"/>
            </w:tcBorders>
            <w:vAlign w:val="center"/>
          </w:tcPr>
          <w:p>
            <w:pPr>
              <w:widowControl/>
              <w:spacing w:line="360" w:lineRule="auto"/>
              <w:jc w:val="left"/>
              <w:rPr>
                <w:rFonts w:cs="宋体" w:asciiTheme="minorEastAsia" w:hAnsiTheme="minorEastAsia" w:eastAsiaTheme="minorEastAsia"/>
                <w:kern w:val="0"/>
                <w:szCs w:val="21"/>
              </w:rPr>
            </w:pPr>
          </w:p>
        </w:tc>
        <w:tc>
          <w:tcPr>
            <w:tcW w:w="425"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序号</w:t>
            </w:r>
          </w:p>
        </w:tc>
        <w:tc>
          <w:tcPr>
            <w:tcW w:w="1844"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持有基金份额比例达到或者超过</w:t>
            </w:r>
            <w:r>
              <w:rPr>
                <w:rFonts w:asciiTheme="minorEastAsia" w:hAnsiTheme="minorEastAsia" w:eastAsiaTheme="minorEastAsia"/>
                <w:sz w:val="21"/>
                <w:szCs w:val="21"/>
              </w:rPr>
              <w:t>20%的时间区间</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期初份额</w:t>
            </w:r>
          </w:p>
        </w:tc>
        <w:tc>
          <w:tcPr>
            <w:tcW w:w="1985"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申购份额</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赎回份额</w:t>
            </w:r>
          </w:p>
        </w:tc>
        <w:tc>
          <w:tcPr>
            <w:tcW w:w="1701"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持有份额</w:t>
            </w:r>
          </w:p>
        </w:tc>
        <w:tc>
          <w:tcPr>
            <w:tcW w:w="851"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份额占比</w:t>
            </w:r>
            <w:r>
              <w:rPr>
                <w:rFonts w:asciiTheme="minorEastAsia" w:hAnsiTheme="minorEastAsia" w:eastAsiaTheme="minorEastAsia"/>
                <w:sz w:val="21"/>
                <w:szCs w:val="21"/>
              </w:rPr>
              <w:t>(%)</w:t>
            </w:r>
          </w:p>
        </w:tc>
      </w:tr>
      <w:tr>
        <w:tblPrEx>
          <w:tblLayout w:type="fixed"/>
          <w:tblCellMar>
            <w:top w:w="0" w:type="dxa"/>
            <w:left w:w="108" w:type="dxa"/>
            <w:bottom w:w="0" w:type="dxa"/>
            <w:right w:w="108" w:type="dxa"/>
          </w:tblCellMar>
        </w:tblPrEx>
        <w:tc>
          <w:tcPr>
            <w:tcW w:w="425" w:type="dxa"/>
            <w:vMerge w:val="restart"/>
            <w:tcBorders>
              <w:top w:val="single" w:color="000000" w:sz="8" w:space="0"/>
              <w:left w:val="single" w:color="000000" w:sz="8" w:space="0"/>
              <w:bottom w:val="single" w:color="000000" w:sz="6" w:space="0"/>
              <w:right w:val="single" w:color="000000" w:sz="8" w:space="0"/>
            </w:tcBorders>
            <w:vAlign w:val="center"/>
          </w:tcPr>
          <w:p>
            <w:pPr>
              <w:pStyle w:val="73"/>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sz w:val="21"/>
                <w:szCs w:val="21"/>
              </w:rPr>
              <w:t>机构</w:t>
            </w:r>
          </w:p>
        </w:tc>
        <w:tc>
          <w:tcPr>
            <w:tcW w:w="425"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w:t>
            </w:r>
          </w:p>
        </w:tc>
        <w:tc>
          <w:tcPr>
            <w:tcW w:w="1844" w:type="dxa"/>
            <w:tcBorders>
              <w:top w:val="single" w:color="000000" w:sz="8" w:space="0"/>
              <w:left w:val="single" w:color="000000" w:sz="8" w:space="0"/>
              <w:bottom w:val="single" w:color="000000" w:sz="6" w:space="0"/>
              <w:right w:val="single" w:color="000000" w:sz="8" w:space="0"/>
            </w:tcBorders>
          </w:tcPr>
          <w:p>
            <w:pPr>
              <w:pStyle w:val="75"/>
              <w:wordWrap w:val="0"/>
              <w:spacing w:line="360" w:lineRule="auto"/>
              <w:ind w:right="105"/>
              <w:jc w:val="both"/>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 xml:space="preserve">2017-01-01  </w:t>
            </w:r>
            <w:r>
              <w:rPr>
                <w:rFonts w:hint="eastAsia" w:asciiTheme="minorEastAsia" w:hAnsiTheme="minorEastAsia" w:eastAsiaTheme="minorEastAsia"/>
                <w:color w:val="000000"/>
                <w:sz w:val="21"/>
                <w:szCs w:val="21"/>
              </w:rPr>
              <w:t>至</w:t>
            </w:r>
          </w:p>
          <w:p>
            <w:pPr>
              <w:pStyle w:val="75"/>
              <w:wordWrap w:val="0"/>
              <w:spacing w:line="360" w:lineRule="auto"/>
              <w:ind w:right="105"/>
              <w:jc w:val="both"/>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2017-02-14</w:t>
            </w:r>
          </w:p>
          <w:p>
            <w:pPr>
              <w:pStyle w:val="75"/>
              <w:spacing w:line="360" w:lineRule="auto"/>
              <w:ind w:right="105"/>
              <w:jc w:val="both"/>
              <w:rPr>
                <w:rFonts w:asciiTheme="minorEastAsia" w:hAnsiTheme="minorEastAsia" w:eastAsiaTheme="minorEastAsia"/>
                <w:sz w:val="21"/>
                <w:szCs w:val="21"/>
              </w:rPr>
            </w:pPr>
            <w:r>
              <w:rPr>
                <w:rFonts w:hint="eastAsia" w:asciiTheme="minorEastAsia" w:hAnsiTheme="minorEastAsia" w:eastAsiaTheme="minorEastAsia"/>
                <w:color w:val="000000"/>
                <w:sz w:val="21"/>
                <w:szCs w:val="21"/>
              </w:rPr>
              <w:t xml:space="preserve">2017-03-31至2017-03-31 </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1,000,000,000.00</w:t>
            </w:r>
          </w:p>
        </w:tc>
        <w:tc>
          <w:tcPr>
            <w:tcW w:w="1985"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1,203,687,853.64</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1,603,687,853.64</w:t>
            </w:r>
          </w:p>
        </w:tc>
        <w:tc>
          <w:tcPr>
            <w:tcW w:w="1701"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600,000,000.00</w:t>
            </w:r>
          </w:p>
        </w:tc>
        <w:tc>
          <w:tcPr>
            <w:tcW w:w="851"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19.25</w:t>
            </w:r>
          </w:p>
        </w:tc>
      </w:tr>
      <w:tr>
        <w:tblPrEx>
          <w:tblLayout w:type="fixed"/>
          <w:tblCellMar>
            <w:top w:w="0" w:type="dxa"/>
            <w:left w:w="108" w:type="dxa"/>
            <w:bottom w:w="0" w:type="dxa"/>
            <w:right w:w="108" w:type="dxa"/>
          </w:tblCellMar>
        </w:tblPrEx>
        <w:tc>
          <w:tcPr>
            <w:tcW w:w="425" w:type="dxa"/>
            <w:vMerge w:val="continue"/>
            <w:tcBorders>
              <w:top w:val="single" w:color="000000" w:sz="8" w:space="0"/>
              <w:left w:val="single" w:color="000000" w:sz="8" w:space="0"/>
              <w:bottom w:val="single" w:color="000000" w:sz="6" w:space="0"/>
              <w:right w:val="single" w:color="000000" w:sz="8" w:space="0"/>
            </w:tcBorders>
            <w:vAlign w:val="center"/>
          </w:tcPr>
          <w:p>
            <w:pPr>
              <w:widowControl/>
              <w:spacing w:line="360" w:lineRule="auto"/>
              <w:jc w:val="left"/>
              <w:rPr>
                <w:rFonts w:cs="宋体" w:asciiTheme="minorEastAsia" w:hAnsiTheme="minorEastAsia" w:eastAsiaTheme="minorEastAsia"/>
                <w:kern w:val="0"/>
                <w:szCs w:val="21"/>
              </w:rPr>
            </w:pPr>
          </w:p>
        </w:tc>
        <w:tc>
          <w:tcPr>
            <w:tcW w:w="425"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2</w:t>
            </w:r>
          </w:p>
        </w:tc>
        <w:tc>
          <w:tcPr>
            <w:tcW w:w="184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jc w:val="both"/>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 xml:space="preserve">2017-01-19  </w:t>
            </w:r>
            <w:r>
              <w:rPr>
                <w:rFonts w:hint="eastAsia" w:asciiTheme="minorEastAsia" w:hAnsiTheme="minorEastAsia" w:eastAsiaTheme="minorEastAsia"/>
                <w:color w:val="000000"/>
                <w:sz w:val="21"/>
                <w:szCs w:val="21"/>
              </w:rPr>
              <w:t>至</w:t>
            </w:r>
          </w:p>
          <w:p>
            <w:pPr>
              <w:pStyle w:val="75"/>
              <w:wordWrap w:val="0"/>
              <w:spacing w:line="360" w:lineRule="auto"/>
              <w:jc w:val="both"/>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 xml:space="preserve">2017-02-10 </w:t>
            </w:r>
          </w:p>
          <w:p>
            <w:pPr>
              <w:pStyle w:val="75"/>
              <w:spacing w:line="360" w:lineRule="auto"/>
              <w:jc w:val="both"/>
              <w:rPr>
                <w:rFonts w:asciiTheme="minorEastAsia" w:hAnsiTheme="minorEastAsia" w:eastAsiaTheme="minorEastAsia"/>
                <w:sz w:val="21"/>
                <w:szCs w:val="21"/>
              </w:rPr>
            </w:pPr>
            <w:r>
              <w:rPr>
                <w:rFonts w:hint="eastAsia" w:asciiTheme="minorEastAsia" w:hAnsiTheme="minorEastAsia" w:eastAsiaTheme="minorEastAsia"/>
                <w:color w:val="000000"/>
                <w:sz w:val="21"/>
                <w:szCs w:val="21"/>
              </w:rPr>
              <w:t xml:space="preserve">2017-02-14至2017-03-31 </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50,002,638.89</w:t>
            </w:r>
          </w:p>
        </w:tc>
        <w:tc>
          <w:tcPr>
            <w:tcW w:w="1985"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502,155,335.78</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w:t>
            </w:r>
          </w:p>
        </w:tc>
        <w:tc>
          <w:tcPr>
            <w:tcW w:w="1701"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552,157,974.67</w:t>
            </w:r>
          </w:p>
        </w:tc>
        <w:tc>
          <w:tcPr>
            <w:tcW w:w="851"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17.71</w:t>
            </w:r>
          </w:p>
        </w:tc>
      </w:tr>
      <w:tr>
        <w:tblPrEx>
          <w:tblLayout w:type="fixed"/>
          <w:tblCellMar>
            <w:top w:w="0" w:type="dxa"/>
            <w:left w:w="108" w:type="dxa"/>
            <w:bottom w:w="0" w:type="dxa"/>
            <w:right w:w="108" w:type="dxa"/>
          </w:tblCellMar>
        </w:tblPrEx>
        <w:tc>
          <w:tcPr>
            <w:tcW w:w="425" w:type="dxa"/>
            <w:vMerge w:val="continue"/>
            <w:tcBorders>
              <w:top w:val="single" w:color="000000" w:sz="8" w:space="0"/>
              <w:left w:val="single" w:color="000000" w:sz="8" w:space="0"/>
              <w:bottom w:val="single" w:color="000000" w:sz="6" w:space="0"/>
              <w:right w:val="single" w:color="000000" w:sz="8" w:space="0"/>
            </w:tcBorders>
            <w:vAlign w:val="center"/>
          </w:tcPr>
          <w:p>
            <w:pPr>
              <w:widowControl/>
              <w:spacing w:line="360" w:lineRule="auto"/>
              <w:jc w:val="left"/>
              <w:rPr>
                <w:rFonts w:cs="宋体" w:asciiTheme="minorEastAsia" w:hAnsiTheme="minorEastAsia" w:eastAsiaTheme="minorEastAsia"/>
                <w:kern w:val="0"/>
                <w:szCs w:val="21"/>
              </w:rPr>
            </w:pPr>
          </w:p>
        </w:tc>
        <w:tc>
          <w:tcPr>
            <w:tcW w:w="425" w:type="dxa"/>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3</w:t>
            </w:r>
          </w:p>
        </w:tc>
        <w:tc>
          <w:tcPr>
            <w:tcW w:w="184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jc w:val="both"/>
              <w:rPr>
                <w:rFonts w:asciiTheme="minorEastAsia" w:hAnsiTheme="minorEastAsia" w:eastAsiaTheme="minorEastAsia"/>
                <w:color w:val="000000"/>
                <w:sz w:val="21"/>
                <w:szCs w:val="21"/>
              </w:rPr>
            </w:pPr>
            <w:r>
              <w:rPr>
                <w:rFonts w:asciiTheme="minorEastAsia" w:hAnsiTheme="minorEastAsia" w:eastAsiaTheme="minorEastAsia"/>
                <w:color w:val="000000"/>
                <w:sz w:val="21"/>
                <w:szCs w:val="21"/>
              </w:rPr>
              <w:t xml:space="preserve">2017-02-14   </w:t>
            </w:r>
            <w:r>
              <w:rPr>
                <w:rFonts w:hint="eastAsia" w:asciiTheme="minorEastAsia" w:hAnsiTheme="minorEastAsia" w:eastAsiaTheme="minorEastAsia"/>
                <w:color w:val="000000"/>
                <w:sz w:val="21"/>
                <w:szCs w:val="21"/>
              </w:rPr>
              <w:t>至</w:t>
            </w:r>
          </w:p>
          <w:p>
            <w:pPr>
              <w:pStyle w:val="75"/>
              <w:wordWrap w:val="0"/>
              <w:spacing w:line="360" w:lineRule="auto"/>
              <w:jc w:val="both"/>
              <w:rPr>
                <w:rFonts w:asciiTheme="minorEastAsia" w:hAnsiTheme="minorEastAsia" w:eastAsiaTheme="minorEastAsia"/>
                <w:sz w:val="21"/>
                <w:szCs w:val="21"/>
              </w:rPr>
            </w:pPr>
            <w:r>
              <w:rPr>
                <w:rFonts w:asciiTheme="minorEastAsia" w:hAnsiTheme="minorEastAsia" w:eastAsiaTheme="minorEastAsia"/>
                <w:color w:val="000000"/>
                <w:sz w:val="21"/>
                <w:szCs w:val="21"/>
              </w:rPr>
              <w:t>2017-03-31</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500,026,388.89</w:t>
            </w:r>
          </w:p>
        </w:tc>
        <w:tc>
          <w:tcPr>
            <w:tcW w:w="1985"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302,260,541.49</w:t>
            </w:r>
          </w:p>
        </w:tc>
        <w:tc>
          <w:tcPr>
            <w:tcW w:w="1984"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300,000,000.00</w:t>
            </w:r>
          </w:p>
        </w:tc>
        <w:tc>
          <w:tcPr>
            <w:tcW w:w="1701"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502,286,930.38</w:t>
            </w:r>
          </w:p>
        </w:tc>
        <w:tc>
          <w:tcPr>
            <w:tcW w:w="851" w:type="dxa"/>
            <w:tcBorders>
              <w:top w:val="single" w:color="000000" w:sz="8" w:space="0"/>
              <w:left w:val="single" w:color="000000" w:sz="8" w:space="0"/>
              <w:bottom w:val="single" w:color="000000" w:sz="6" w:space="0"/>
              <w:right w:val="single" w:color="000000" w:sz="8" w:space="0"/>
            </w:tcBorders>
            <w:vAlign w:val="center"/>
          </w:tcPr>
          <w:p>
            <w:pPr>
              <w:pStyle w:val="75"/>
              <w:wordWrap w:val="0"/>
              <w:spacing w:line="360" w:lineRule="auto"/>
              <w:rPr>
                <w:rFonts w:asciiTheme="minorEastAsia" w:hAnsiTheme="minorEastAsia" w:eastAsiaTheme="minorEastAsia"/>
                <w:sz w:val="21"/>
                <w:szCs w:val="21"/>
              </w:rPr>
            </w:pPr>
            <w:r>
              <w:rPr>
                <w:rFonts w:asciiTheme="minorEastAsia" w:hAnsiTheme="minorEastAsia" w:eastAsiaTheme="minorEastAsia"/>
                <w:color w:val="000000"/>
                <w:sz w:val="21"/>
                <w:szCs w:val="21"/>
              </w:rPr>
              <w:t>16.11</w:t>
            </w:r>
          </w:p>
        </w:tc>
      </w:tr>
      <w:tr>
        <w:tblPrEx>
          <w:tblLayout w:type="fixed"/>
          <w:tblCellMar>
            <w:top w:w="0" w:type="dxa"/>
            <w:left w:w="108" w:type="dxa"/>
            <w:bottom w:w="0" w:type="dxa"/>
            <w:right w:w="108" w:type="dxa"/>
          </w:tblCellMar>
        </w:tblPrEx>
        <w:tc>
          <w:tcPr>
            <w:tcW w:w="11199" w:type="dxa"/>
            <w:gridSpan w:val="8"/>
            <w:tcBorders>
              <w:top w:val="single" w:color="000000" w:sz="8" w:space="0"/>
              <w:left w:val="single" w:color="000000" w:sz="8" w:space="0"/>
              <w:bottom w:val="single" w:color="000000" w:sz="6" w:space="0"/>
              <w:right w:val="single" w:color="000000" w:sz="8" w:space="0"/>
            </w:tcBorders>
            <w:vAlign w:val="center"/>
          </w:tcPr>
          <w:p>
            <w:pPr>
              <w:pStyle w:val="74"/>
              <w:wordWrap w:val="0"/>
              <w:spacing w:line="360" w:lineRule="auto"/>
              <w:rPr>
                <w:rFonts w:asciiTheme="minorEastAsia" w:hAnsiTheme="minorEastAsia" w:eastAsiaTheme="minorEastAsia"/>
                <w:sz w:val="21"/>
                <w:szCs w:val="21"/>
              </w:rPr>
            </w:pPr>
            <w:r>
              <w:rPr>
                <w:rFonts w:hint="eastAsia" w:asciiTheme="minorEastAsia" w:hAnsiTheme="minorEastAsia" w:eastAsiaTheme="minorEastAsia"/>
                <w:color w:val="000000"/>
                <w:sz w:val="21"/>
                <w:szCs w:val="21"/>
              </w:rPr>
              <w:t>产品特有风险</w:t>
            </w:r>
          </w:p>
        </w:tc>
      </w:tr>
      <w:tr>
        <w:tblPrEx>
          <w:tblLayout w:type="fixed"/>
          <w:tblCellMar>
            <w:top w:w="0" w:type="dxa"/>
            <w:left w:w="108" w:type="dxa"/>
            <w:bottom w:w="0" w:type="dxa"/>
            <w:right w:w="108" w:type="dxa"/>
          </w:tblCellMar>
        </w:tblPrEx>
        <w:tc>
          <w:tcPr>
            <w:tcW w:w="11199" w:type="dxa"/>
            <w:gridSpan w:val="8"/>
            <w:tcBorders>
              <w:top w:val="single" w:color="000000" w:sz="8" w:space="0"/>
              <w:left w:val="single" w:color="000000" w:sz="8" w:space="0"/>
              <w:bottom w:val="single" w:color="000000" w:sz="6" w:space="0"/>
              <w:right w:val="single" w:color="000000" w:sz="8" w:space="0"/>
            </w:tcBorders>
            <w:vAlign w:val="center"/>
          </w:tcPr>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本报告期本基金存在单一投资者持有基金份额比例达到或者超过20%的情况，未来或存在如下风险，敬请投资者留意：</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（1）赎回申请延期办理的风险</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持有份额比例较高的投资者（</w:t>
            </w:r>
            <w:r>
              <w:rPr>
                <w:rFonts w:asciiTheme="minorEastAsia" w:hAnsiTheme="minorEastAsia" w:eastAsiaTheme="minorEastAsia"/>
                <w:color w:val="000000"/>
              </w:rPr>
              <w:t>"</w:t>
            </w:r>
            <w:r>
              <w:rPr>
                <w:rFonts w:hint="eastAsia" w:asciiTheme="minorEastAsia" w:hAnsiTheme="minorEastAsia" w:eastAsiaTheme="minorEastAsia"/>
                <w:color w:val="000000"/>
              </w:rPr>
              <w:t>高比例投资者</w:t>
            </w:r>
            <w:r>
              <w:rPr>
                <w:rFonts w:asciiTheme="minorEastAsia" w:hAnsiTheme="minorEastAsia" w:eastAsiaTheme="minorEastAsia"/>
                <w:color w:val="000000"/>
              </w:rPr>
              <w:t>"</w:t>
            </w:r>
            <w:r>
              <w:rPr>
                <w:rFonts w:hint="eastAsia" w:asciiTheme="minorEastAsia" w:hAnsiTheme="minorEastAsia" w:eastAsiaTheme="minorEastAsia"/>
                <w:color w:val="000000"/>
              </w:rPr>
              <w:t>）大额赎回时易构成本基金发生巨额赎回，中小投资者可能面临赎回申请需要与高比例投资者按同比例部分延期办理的风险。</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（2）基金资产净值大幅波动的风险</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高比例投资者大额赎回时，基金管理人进行基金财产变现可能会对基金资产净值造成较大波动。</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（3）提前终止基金合同的风险</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 xml:space="preserve">多名高比例投资者赎回后，可能出现基金资产净值低于5000万元的情形，根据本合同约定，若连续六十个工作日出现基金资产净值低于5000万元情形的，基金管理人将向中国证监会报告并提出解决方案，如转换运作方式、与其他基金合并或者终止基金合同等，还将召开基金份额持有人大会进行表决。 </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（4）基金规模较小导致的风险</w:t>
            </w:r>
          </w:p>
          <w:p>
            <w:pPr>
              <w:pStyle w:val="73"/>
              <w:wordWrap w:val="0"/>
              <w:spacing w:before="0" w:line="360" w:lineRule="auto"/>
              <w:ind w:left="17" w:firstLine="480" w:firstLineChars="200"/>
              <w:rPr>
                <w:rFonts w:asciiTheme="minorEastAsia" w:hAnsiTheme="minorEastAsia" w:eastAsiaTheme="minorEastAsia"/>
                <w:color w:val="000000"/>
              </w:rPr>
            </w:pPr>
            <w:r>
              <w:rPr>
                <w:rFonts w:hint="eastAsia" w:asciiTheme="minorEastAsia" w:hAnsiTheme="minorEastAsia" w:eastAsiaTheme="minorEastAsia"/>
                <w:color w:val="000000"/>
              </w:rPr>
              <w:t>高比例投资者赎回后，可能导致基金规模较小，基金投资可能面临一定困难。</w:t>
            </w:r>
          </w:p>
          <w:p>
            <w:pPr>
              <w:pStyle w:val="73"/>
              <w:wordWrap w:val="0"/>
              <w:spacing w:before="0" w:line="360" w:lineRule="auto"/>
              <w:ind w:left="17" w:firstLine="480" w:firstLineChars="200"/>
              <w:rPr>
                <w:rFonts w:asciiTheme="minorEastAsia" w:hAnsiTheme="minorEastAsia" w:eastAsiaTheme="minorEastAsia"/>
                <w:sz w:val="21"/>
                <w:szCs w:val="21"/>
              </w:rPr>
            </w:pPr>
            <w:r>
              <w:rPr>
                <w:rFonts w:hint="eastAsia" w:asciiTheme="minorEastAsia" w:hAnsiTheme="minorEastAsia" w:eastAsiaTheme="minorEastAsia"/>
                <w:color w:val="000000"/>
              </w:rPr>
              <w:t>本基金管理人将继续勤勉尽责，执行相关投资策略，力争实现投资目标。</w:t>
            </w:r>
          </w:p>
        </w:tc>
      </w:tr>
    </w:tbl>
    <w:p>
      <w:pPr>
        <w:pStyle w:val="71"/>
        <w:widowControl/>
        <w:numPr>
          <w:ilvl w:val="255"/>
          <w:numId w:val="0"/>
        </w:numPr>
        <w:spacing w:line="360" w:lineRule="auto"/>
        <w:ind w:firstLine="480" w:firstLineChars="200"/>
        <w:jc w:val="left"/>
        <w:rPr>
          <w:rFonts w:ascii="宋体" w:hAnsi="宋体"/>
          <w:sz w:val="24"/>
        </w:rPr>
      </w:pPr>
      <w:r>
        <w:rPr>
          <w:rFonts w:hint="eastAsia" w:ascii="宋体" w:hAnsi="宋体"/>
          <w:sz w:val="24"/>
        </w:rPr>
        <w:t>2、影响投资者决策的其他重要信息</w:t>
      </w:r>
    </w:p>
    <w:p>
      <w:pPr>
        <w:pStyle w:val="71"/>
        <w:widowControl/>
        <w:spacing w:line="360" w:lineRule="auto"/>
        <w:ind w:left="747" w:firstLine="0" w:firstLineChars="0"/>
        <w:jc w:val="left"/>
        <w:rPr>
          <w:rFonts w:ascii="宋体" w:hAnsi="宋体"/>
          <w:sz w:val="24"/>
        </w:rPr>
      </w:pPr>
      <w:r>
        <w:rPr>
          <w:rFonts w:hint="eastAsia" w:ascii="宋体" w:hAnsi="宋体"/>
          <w:sz w:val="24"/>
        </w:rPr>
        <w:t>本报告期内未出现影响投资者决策的其他重要信息。</w:t>
      </w:r>
    </w:p>
    <w:p>
      <w:pPr>
        <w:spacing w:line="360" w:lineRule="auto"/>
        <w:ind w:firstLine="424" w:firstLineChars="177"/>
        <w:rPr>
          <w:rFonts w:ascii="宋体" w:hAnsi="宋体"/>
          <w:bCs/>
          <w:sz w:val="24"/>
        </w:rPr>
      </w:pPr>
      <w:r>
        <w:rPr>
          <w:rFonts w:hint="eastAsia" w:ascii="宋体" w:hAnsi="宋体"/>
          <w:bCs/>
          <w:sz w:val="24"/>
        </w:rPr>
        <w:t>（十二）基金净值表现</w:t>
      </w:r>
    </w:p>
    <w:p>
      <w:pPr>
        <w:spacing w:line="360" w:lineRule="auto"/>
        <w:ind w:firstLine="424" w:firstLineChars="177"/>
        <w:rPr>
          <w:rFonts w:ascii="宋体" w:hAnsi="宋体"/>
          <w:bCs/>
          <w:sz w:val="24"/>
        </w:rPr>
      </w:pPr>
      <w:r>
        <w:rPr>
          <w:rFonts w:hint="eastAsia" w:ascii="宋体" w:hAnsi="宋体"/>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pPr>
        <w:spacing w:line="360" w:lineRule="auto"/>
        <w:ind w:firstLine="424" w:firstLineChars="177"/>
        <w:rPr>
          <w:rFonts w:ascii="宋体" w:hAnsi="宋体"/>
          <w:bCs/>
          <w:sz w:val="24"/>
        </w:rPr>
      </w:pPr>
      <w:r>
        <w:rPr>
          <w:rFonts w:hint="eastAsia" w:ascii="宋体" w:hAnsi="宋体"/>
          <w:bCs/>
          <w:sz w:val="24"/>
        </w:rPr>
        <w:t>（1）富荣货币A（</w:t>
      </w:r>
      <w:r>
        <w:rPr>
          <w:rFonts w:hint="eastAsia" w:ascii="宋体" w:hAnsi="宋体"/>
          <w:color w:val="000000"/>
          <w:kern w:val="0"/>
          <w:sz w:val="24"/>
        </w:rPr>
        <w:t>基金代码：</w:t>
      </w:r>
      <w:r>
        <w:rPr>
          <w:rFonts w:ascii="宋体" w:hAnsi="宋体"/>
          <w:color w:val="000000"/>
          <w:kern w:val="0"/>
          <w:sz w:val="24"/>
        </w:rPr>
        <w:t>003467</w:t>
      </w:r>
      <w:r>
        <w:rPr>
          <w:rFonts w:hint="eastAsia" w:ascii="宋体" w:hAnsi="宋体"/>
          <w:bCs/>
          <w:sz w:val="24"/>
        </w:rPr>
        <w:t>）</w:t>
      </w:r>
    </w:p>
    <w:tbl>
      <w:tblPr>
        <w:tblStyle w:val="34"/>
        <w:tblW w:w="87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9"/>
        <w:gridCol w:w="1249"/>
        <w:gridCol w:w="1249"/>
        <w:gridCol w:w="1249"/>
        <w:gridCol w:w="1249"/>
        <w:gridCol w:w="1249"/>
        <w:gridCol w:w="1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阶段</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净值收益率①</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净值收益率标准差②</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业绩比较基准收益率③</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业绩比较基准收益率标准差④</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①</w:t>
            </w:r>
            <w:r>
              <w:rPr>
                <w:rFonts w:ascii="宋体" w:hAnsi="宋体"/>
                <w:color w:val="000000"/>
                <w:kern w:val="0"/>
                <w:sz w:val="24"/>
              </w:rPr>
              <w:t>-</w:t>
            </w:r>
            <w:r>
              <w:rPr>
                <w:rFonts w:hint="eastAsia" w:ascii="宋体" w:hAnsi="宋体"/>
                <w:color w:val="000000"/>
                <w:kern w:val="0"/>
                <w:sz w:val="24"/>
              </w:rPr>
              <w:t>③</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②</w:t>
            </w:r>
            <w:r>
              <w:rPr>
                <w:rFonts w:ascii="宋体" w:hAnsi="宋体"/>
                <w:color w:val="000000"/>
                <w:kern w:val="0"/>
                <w:sz w:val="24"/>
              </w:rPr>
              <w:t>-</w:t>
            </w:r>
            <w:r>
              <w:rPr>
                <w:rFonts w:hint="eastAsia" w:ascii="宋体" w:hAnsi="宋体"/>
                <w:color w:val="000000"/>
                <w:kern w:val="0"/>
                <w:sz w:val="24"/>
              </w:rPr>
              <w:t>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2016.12.26~2016.12.31</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0.0796%</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0.0059%</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0.0058%</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0.0000%</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0.0738%</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2017.01.01~2017.03.31</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0.7873%</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0.0033%</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0.0875%</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0.0000%</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0.6998%</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2016.12.26~2017.03.31</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0.8676%</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0.0037%</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0.0933%</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0.0000%</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0.7743%</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0.0037%</w:t>
            </w:r>
          </w:p>
        </w:tc>
      </w:tr>
    </w:tbl>
    <w:p>
      <w:pPr>
        <w:spacing w:line="360" w:lineRule="auto"/>
        <w:ind w:firstLine="424" w:firstLineChars="177"/>
        <w:rPr>
          <w:rFonts w:ascii="宋体" w:hAnsi="宋体"/>
          <w:bCs/>
          <w:sz w:val="24"/>
        </w:rPr>
      </w:pPr>
    </w:p>
    <w:p>
      <w:pPr>
        <w:spacing w:line="360" w:lineRule="auto"/>
        <w:ind w:firstLine="424" w:firstLineChars="177"/>
        <w:rPr>
          <w:rFonts w:ascii="宋体" w:hAnsi="宋体"/>
          <w:bCs/>
          <w:sz w:val="24"/>
        </w:rPr>
      </w:pPr>
      <w:r>
        <w:rPr>
          <w:rFonts w:hint="eastAsia" w:ascii="宋体" w:hAnsi="宋体"/>
          <w:bCs/>
          <w:sz w:val="24"/>
        </w:rPr>
        <w:t>（2）富荣货币B（</w:t>
      </w:r>
      <w:r>
        <w:rPr>
          <w:rFonts w:hint="eastAsia" w:ascii="宋体" w:hAnsi="宋体"/>
          <w:color w:val="000000"/>
          <w:kern w:val="0"/>
          <w:sz w:val="24"/>
        </w:rPr>
        <w:t>基金代码：</w:t>
      </w:r>
      <w:r>
        <w:rPr>
          <w:rFonts w:ascii="宋体" w:hAnsi="宋体"/>
          <w:color w:val="000000"/>
          <w:kern w:val="0"/>
          <w:sz w:val="24"/>
        </w:rPr>
        <w:t>00346</w:t>
      </w:r>
      <w:r>
        <w:rPr>
          <w:rFonts w:hint="eastAsia" w:ascii="宋体" w:hAnsi="宋体"/>
          <w:color w:val="000000"/>
          <w:kern w:val="0"/>
          <w:sz w:val="24"/>
        </w:rPr>
        <w:t>8</w:t>
      </w:r>
      <w:r>
        <w:rPr>
          <w:rFonts w:hint="eastAsia" w:ascii="宋体" w:hAnsi="宋体"/>
          <w:bCs/>
          <w:sz w:val="24"/>
        </w:rPr>
        <w:t>）</w:t>
      </w:r>
    </w:p>
    <w:tbl>
      <w:tblPr>
        <w:tblStyle w:val="34"/>
        <w:tblW w:w="87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9"/>
        <w:gridCol w:w="1249"/>
        <w:gridCol w:w="1249"/>
        <w:gridCol w:w="1249"/>
        <w:gridCol w:w="1249"/>
        <w:gridCol w:w="1249"/>
        <w:gridCol w:w="1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1" w:hRule="atLeast"/>
        </w:trPr>
        <w:tc>
          <w:tcPr>
            <w:tcW w:w="1249" w:type="dxa"/>
            <w:vAlign w:val="center"/>
          </w:tcPr>
          <w:p>
            <w:pPr>
              <w:autoSpaceDE w:val="0"/>
              <w:autoSpaceDN w:val="0"/>
              <w:adjustRightInd w:val="0"/>
              <w:jc w:val="center"/>
              <w:rPr>
                <w:rFonts w:ascii="仿宋_GB2312" w:eastAsia="仿宋_GB2312" w:cs="仿宋_GB2312"/>
                <w:color w:val="000000"/>
                <w:kern w:val="0"/>
                <w:szCs w:val="21"/>
              </w:rPr>
            </w:pPr>
            <w:r>
              <w:rPr>
                <w:rFonts w:hint="eastAsia" w:ascii="宋体" w:hAnsi="宋体"/>
                <w:sz w:val="24"/>
              </w:rPr>
              <w:t>阶段</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净值收益率①</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净值收益率标准差②</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业绩比较基准收益率③</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业绩比较基准收益率标准差④</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①</w:t>
            </w:r>
            <w:r>
              <w:rPr>
                <w:rFonts w:ascii="宋体" w:hAnsi="宋体"/>
                <w:color w:val="000000"/>
                <w:kern w:val="0"/>
                <w:sz w:val="24"/>
              </w:rPr>
              <w:t>-</w:t>
            </w:r>
            <w:r>
              <w:rPr>
                <w:rFonts w:hint="eastAsia" w:ascii="宋体" w:hAnsi="宋体"/>
                <w:color w:val="000000"/>
                <w:kern w:val="0"/>
                <w:sz w:val="24"/>
              </w:rPr>
              <w:t>③</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②</w:t>
            </w:r>
            <w:r>
              <w:rPr>
                <w:rFonts w:ascii="宋体" w:hAnsi="宋体"/>
                <w:color w:val="000000"/>
                <w:kern w:val="0"/>
                <w:sz w:val="24"/>
              </w:rPr>
              <w:t>-</w:t>
            </w:r>
            <w:r>
              <w:rPr>
                <w:rFonts w:hint="eastAsia" w:ascii="宋体" w:hAnsi="宋体"/>
                <w:color w:val="000000"/>
                <w:kern w:val="0"/>
                <w:sz w:val="24"/>
              </w:rPr>
              <w:t>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2016.12.26~2016.12.31</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0.0829%</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0.0057%</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0.0058%</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0.0000%</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0.0771%</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2017.01.01~2017.03.31</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0.8483%</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0.0033%</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0.0875%</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0.0000%</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0.7608%</w:t>
            </w:r>
          </w:p>
        </w:tc>
        <w:tc>
          <w:tcPr>
            <w:tcW w:w="1249" w:type="dxa"/>
            <w:vAlign w:val="center"/>
          </w:tcPr>
          <w:p>
            <w:pPr>
              <w:autoSpaceDE w:val="0"/>
              <w:autoSpaceDN w:val="0"/>
              <w:adjustRightInd w:val="0"/>
              <w:jc w:val="center"/>
              <w:rPr>
                <w:rFonts w:ascii="宋体" w:hAnsi="宋体"/>
                <w:color w:val="000000"/>
                <w:kern w:val="0"/>
                <w:sz w:val="24"/>
              </w:rPr>
            </w:pPr>
            <w:r>
              <w:rPr>
                <w:rFonts w:ascii="宋体" w:hAnsi="宋体"/>
                <w:color w:val="000000"/>
                <w:kern w:val="0"/>
                <w:sz w:val="24"/>
              </w:rPr>
              <w:t>0.0033%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2016.12.26~2017.03.31</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0.9319%</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0.0036%</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0.0933%</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0.0000%</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0.8386%</w:t>
            </w:r>
          </w:p>
        </w:tc>
        <w:tc>
          <w:tcPr>
            <w:tcW w:w="1249" w:type="dxa"/>
            <w:vAlign w:val="center"/>
          </w:tcPr>
          <w:p>
            <w:pPr>
              <w:autoSpaceDE w:val="0"/>
              <w:autoSpaceDN w:val="0"/>
              <w:adjustRightInd w:val="0"/>
              <w:jc w:val="center"/>
              <w:rPr>
                <w:rFonts w:ascii="宋体" w:hAnsi="宋体"/>
                <w:color w:val="000000"/>
                <w:kern w:val="0"/>
                <w:sz w:val="24"/>
              </w:rPr>
            </w:pPr>
            <w:r>
              <w:rPr>
                <w:rFonts w:hint="eastAsia" w:ascii="宋体" w:hAnsi="宋体"/>
                <w:color w:val="000000"/>
                <w:kern w:val="0"/>
                <w:sz w:val="24"/>
              </w:rPr>
              <w:t>0.0036%</w:t>
            </w:r>
          </w:p>
        </w:tc>
      </w:tr>
    </w:tbl>
    <w:p>
      <w:pPr>
        <w:spacing w:line="360" w:lineRule="auto"/>
        <w:ind w:firstLine="424" w:firstLineChars="177"/>
        <w:rPr>
          <w:rFonts w:ascii="宋体" w:hAnsi="宋体"/>
          <w:color w:val="000000"/>
          <w:kern w:val="0"/>
          <w:sz w:val="24"/>
        </w:rPr>
      </w:pPr>
      <w:r>
        <w:rPr>
          <w:rFonts w:hint="eastAsia" w:ascii="宋体" w:hAnsi="宋体"/>
          <w:color w:val="000000"/>
          <w:kern w:val="0"/>
          <w:sz w:val="24"/>
        </w:rPr>
        <w:t>注：本基金的业绩比较基准为：活期存款利率（税后）。</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2、自基金合同生效以来基金累计净值收益率变动及其与同期业绩比较基准收益率变动的比较</w:t>
      </w:r>
    </w:p>
    <w:p>
      <w:pPr>
        <w:spacing w:line="360" w:lineRule="auto"/>
        <w:ind w:firstLine="424" w:firstLineChars="177"/>
        <w:rPr>
          <w:rFonts w:ascii="宋体" w:hAnsi="宋体"/>
          <w:color w:val="000000"/>
          <w:kern w:val="0"/>
          <w:sz w:val="24"/>
        </w:rPr>
      </w:pPr>
      <w:r>
        <w:rPr>
          <w:rFonts w:ascii="宋体" w:hAnsi="宋体"/>
          <w:color w:val="0000FF"/>
          <w:kern w:val="0"/>
          <w:sz w:val="24"/>
        </w:rPr>
        <w:drawing>
          <wp:inline distT="0" distB="0" distL="0" distR="0">
            <wp:extent cx="5486400" cy="327025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486400" cy="3270648"/>
                    </a:xfrm>
                    <a:prstGeom prst="rect">
                      <a:avLst/>
                    </a:prstGeom>
                    <a:noFill/>
                    <a:ln>
                      <a:noFill/>
                    </a:ln>
                  </pic:spPr>
                </pic:pic>
              </a:graphicData>
            </a:graphic>
          </wp:inline>
        </w:drawing>
      </w:r>
    </w:p>
    <w:p>
      <w:pPr>
        <w:spacing w:line="360" w:lineRule="auto"/>
        <w:ind w:firstLine="424" w:firstLineChars="177"/>
        <w:rPr>
          <w:rFonts w:ascii="宋体" w:hAnsi="宋体"/>
          <w:color w:val="000000"/>
          <w:kern w:val="0"/>
          <w:sz w:val="24"/>
        </w:rPr>
      </w:pPr>
      <w:r>
        <w:rPr>
          <w:rFonts w:ascii="宋体" w:hAnsi="宋体"/>
          <w:color w:val="0000FF"/>
          <w:kern w:val="0"/>
          <w:sz w:val="24"/>
        </w:rPr>
        <w:drawing>
          <wp:inline distT="0" distB="0" distL="0" distR="0">
            <wp:extent cx="5486400" cy="3270250"/>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486400" cy="3270648"/>
                    </a:xfrm>
                    <a:prstGeom prst="rect">
                      <a:avLst/>
                    </a:prstGeom>
                    <a:noFill/>
                    <a:ln>
                      <a:noFill/>
                    </a:ln>
                  </pic:spPr>
                </pic:pic>
              </a:graphicData>
            </a:graphic>
          </wp:inline>
        </w:drawing>
      </w:r>
    </w:p>
    <w:p>
      <w:pPr>
        <w:spacing w:line="360" w:lineRule="auto"/>
        <w:ind w:firstLine="424" w:firstLineChars="177"/>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注：①本基金的建仓期为自</w:t>
      </w:r>
      <w:r>
        <w:rPr>
          <w:rFonts w:asciiTheme="minorEastAsia" w:hAnsiTheme="minorEastAsia" w:eastAsiaTheme="minorEastAsia"/>
          <w:color w:val="000000"/>
          <w:kern w:val="0"/>
          <w:sz w:val="24"/>
        </w:rPr>
        <w:t>2016</w:t>
      </w:r>
      <w:r>
        <w:rPr>
          <w:rFonts w:hint="eastAsia" w:asciiTheme="minorEastAsia" w:hAnsiTheme="minorEastAsia" w:eastAsiaTheme="minorEastAsia"/>
          <w:color w:val="000000"/>
          <w:kern w:val="0"/>
          <w:sz w:val="24"/>
        </w:rPr>
        <w:t>年</w:t>
      </w:r>
      <w:r>
        <w:rPr>
          <w:rFonts w:asciiTheme="minorEastAsia" w:hAnsiTheme="minorEastAsia" w:eastAsiaTheme="minorEastAsia"/>
          <w:color w:val="000000"/>
          <w:kern w:val="0"/>
          <w:sz w:val="24"/>
        </w:rPr>
        <w:t>12</w:t>
      </w:r>
      <w:r>
        <w:rPr>
          <w:rFonts w:hint="eastAsia" w:asciiTheme="minorEastAsia" w:hAnsiTheme="minorEastAsia" w:eastAsiaTheme="minorEastAsia"/>
          <w:color w:val="000000"/>
          <w:kern w:val="0"/>
          <w:sz w:val="24"/>
        </w:rPr>
        <w:t>月</w:t>
      </w:r>
      <w:r>
        <w:rPr>
          <w:rFonts w:asciiTheme="minorEastAsia" w:hAnsiTheme="minorEastAsia" w:eastAsiaTheme="minorEastAsia"/>
          <w:color w:val="000000"/>
          <w:kern w:val="0"/>
          <w:sz w:val="24"/>
        </w:rPr>
        <w:t>26</w:t>
      </w:r>
      <w:r>
        <w:rPr>
          <w:rFonts w:hint="eastAsia" w:asciiTheme="minorEastAsia" w:hAnsiTheme="minorEastAsia" w:eastAsiaTheme="minorEastAsia"/>
          <w:color w:val="000000"/>
          <w:kern w:val="0"/>
          <w:sz w:val="24"/>
        </w:rPr>
        <w:t>日基金合同生效日起</w:t>
      </w:r>
      <w:r>
        <w:rPr>
          <w:rFonts w:asciiTheme="minorEastAsia" w:hAnsiTheme="minorEastAsia" w:eastAsiaTheme="minorEastAsia"/>
          <w:color w:val="000000"/>
          <w:kern w:val="0"/>
          <w:sz w:val="24"/>
        </w:rPr>
        <w:t>6</w:t>
      </w:r>
      <w:r>
        <w:rPr>
          <w:rFonts w:hint="eastAsia" w:asciiTheme="minorEastAsia" w:hAnsiTheme="minorEastAsia" w:eastAsiaTheme="minorEastAsia"/>
          <w:color w:val="000000"/>
          <w:kern w:val="0"/>
          <w:sz w:val="24"/>
        </w:rPr>
        <w:t>个月</w:t>
      </w:r>
      <w:r>
        <w:rPr>
          <w:rFonts w:asciiTheme="minorEastAsia" w:hAnsiTheme="minorEastAsia" w:eastAsiaTheme="minorEastAsia"/>
          <w:color w:val="000000"/>
          <w:kern w:val="0"/>
          <w:sz w:val="24"/>
        </w:rPr>
        <w:t>,</w:t>
      </w:r>
      <w:r>
        <w:rPr>
          <w:rFonts w:hint="eastAsia" w:asciiTheme="minorEastAsia" w:hAnsiTheme="minorEastAsia" w:eastAsiaTheme="minorEastAsia"/>
          <w:color w:val="000000"/>
          <w:kern w:val="0"/>
          <w:sz w:val="24"/>
        </w:rPr>
        <w:t>目前仍处于建仓期；</w:t>
      </w:r>
    </w:p>
    <w:p>
      <w:pPr>
        <w:spacing w:line="360" w:lineRule="auto"/>
        <w:ind w:firstLine="424" w:firstLineChars="177"/>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②基金合同生效日（</w:t>
      </w:r>
      <w:r>
        <w:rPr>
          <w:rFonts w:asciiTheme="minorEastAsia" w:hAnsiTheme="minorEastAsia" w:eastAsiaTheme="minorEastAsia"/>
          <w:color w:val="000000"/>
          <w:kern w:val="0"/>
          <w:sz w:val="24"/>
        </w:rPr>
        <w:t>2016</w:t>
      </w:r>
      <w:r>
        <w:rPr>
          <w:rFonts w:hint="eastAsia" w:asciiTheme="minorEastAsia" w:hAnsiTheme="minorEastAsia" w:eastAsiaTheme="minorEastAsia"/>
          <w:color w:val="000000"/>
          <w:kern w:val="0"/>
          <w:sz w:val="24"/>
        </w:rPr>
        <w:t>年</w:t>
      </w:r>
      <w:r>
        <w:rPr>
          <w:rFonts w:asciiTheme="minorEastAsia" w:hAnsiTheme="minorEastAsia" w:eastAsiaTheme="minorEastAsia"/>
          <w:color w:val="000000"/>
          <w:kern w:val="0"/>
          <w:sz w:val="24"/>
        </w:rPr>
        <w:t>12</w:t>
      </w:r>
      <w:r>
        <w:rPr>
          <w:rFonts w:hint="eastAsia" w:asciiTheme="minorEastAsia" w:hAnsiTheme="minorEastAsia" w:eastAsiaTheme="minorEastAsia"/>
          <w:color w:val="000000"/>
          <w:kern w:val="0"/>
          <w:sz w:val="24"/>
        </w:rPr>
        <w:t>月</w:t>
      </w:r>
      <w:r>
        <w:rPr>
          <w:rFonts w:asciiTheme="minorEastAsia" w:hAnsiTheme="minorEastAsia" w:eastAsiaTheme="minorEastAsia"/>
          <w:color w:val="000000"/>
          <w:kern w:val="0"/>
          <w:sz w:val="24"/>
        </w:rPr>
        <w:t>26</w:t>
      </w:r>
      <w:r>
        <w:rPr>
          <w:rFonts w:hint="eastAsia" w:asciiTheme="minorEastAsia" w:hAnsiTheme="minorEastAsia" w:eastAsiaTheme="minorEastAsia"/>
          <w:color w:val="000000"/>
          <w:kern w:val="0"/>
          <w:sz w:val="24"/>
        </w:rPr>
        <w:t>日）起至本报告期末不满一年。</w:t>
      </w:r>
    </w:p>
    <w:p>
      <w:pPr>
        <w:pStyle w:val="2"/>
        <w:spacing w:line="360" w:lineRule="auto"/>
        <w:jc w:val="center"/>
        <w:rPr>
          <w:rFonts w:ascii="宋体" w:hAnsi="宋体"/>
          <w:color w:val="000000"/>
          <w:kern w:val="0"/>
          <w:sz w:val="24"/>
          <w:szCs w:val="24"/>
        </w:rPr>
      </w:pPr>
      <w:bookmarkStart w:id="76" w:name="_Toc482624799"/>
      <w:bookmarkStart w:id="77" w:name="_Toc13779"/>
      <w:bookmarkStart w:id="78" w:name="_Toc1303"/>
      <w:r>
        <w:rPr>
          <w:rFonts w:hint="eastAsia" w:ascii="宋体" w:hAnsi="宋体"/>
          <w:color w:val="000000"/>
          <w:kern w:val="0"/>
          <w:sz w:val="24"/>
          <w:szCs w:val="24"/>
        </w:rPr>
        <w:t>第十部分  基金的财产</w:t>
      </w:r>
      <w:bookmarkEnd w:id="69"/>
      <w:bookmarkEnd w:id="74"/>
      <w:bookmarkEnd w:id="75"/>
      <w:bookmarkEnd w:id="76"/>
      <w:bookmarkEnd w:id="77"/>
      <w:bookmarkEnd w:id="78"/>
    </w:p>
    <w:p>
      <w:pPr>
        <w:spacing w:line="360" w:lineRule="auto"/>
        <w:ind w:firstLine="480" w:firstLineChars="200"/>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（一）基金资产总值</w:t>
      </w:r>
    </w:p>
    <w:p>
      <w:pPr>
        <w:spacing w:line="360" w:lineRule="auto"/>
        <w:ind w:firstLine="480" w:firstLineChars="200"/>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基金资产总值是指购买的各类证券及票据价值、银行存款本息和基金应收的申购基金款以及其他投资所形成的价值总和。</w:t>
      </w:r>
    </w:p>
    <w:p>
      <w:pPr>
        <w:spacing w:line="360" w:lineRule="auto"/>
        <w:ind w:firstLine="480" w:firstLineChars="200"/>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（二）基金资产净值</w:t>
      </w:r>
    </w:p>
    <w:p>
      <w:pPr>
        <w:spacing w:line="360" w:lineRule="auto"/>
        <w:ind w:firstLine="480" w:firstLineChars="200"/>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基金资产净值是指基金资产总值减去基金负债后的价值。</w:t>
      </w:r>
    </w:p>
    <w:p>
      <w:pPr>
        <w:spacing w:line="360" w:lineRule="auto"/>
        <w:ind w:firstLine="480" w:firstLineChars="200"/>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（三）基金财产的账户</w:t>
      </w:r>
    </w:p>
    <w:p>
      <w:pPr>
        <w:spacing w:line="360" w:lineRule="auto"/>
        <w:ind w:firstLine="480" w:firstLineChars="200"/>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pPr>
        <w:spacing w:line="360" w:lineRule="auto"/>
        <w:ind w:firstLine="480" w:firstLineChars="200"/>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（四）基金财产的保管及处分</w:t>
      </w:r>
    </w:p>
    <w:p>
      <w:pPr>
        <w:spacing w:line="360" w:lineRule="auto"/>
        <w:ind w:firstLine="480" w:firstLineChars="200"/>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pPr>
        <w:spacing w:line="360" w:lineRule="auto"/>
        <w:ind w:firstLine="480" w:firstLineChars="200"/>
        <w:rPr>
          <w:rFonts w:asciiTheme="minorEastAsia" w:hAnsiTheme="minorEastAsia" w:eastAsiaTheme="minorEastAsia"/>
          <w:color w:val="000000"/>
          <w:kern w:val="0"/>
          <w:sz w:val="24"/>
        </w:rPr>
      </w:pPr>
      <w:r>
        <w:rPr>
          <w:rFonts w:hint="eastAsia" w:asciiTheme="minorEastAsia" w:hAnsiTheme="minorEastAsia" w:eastAsiaTheme="minor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79" w:name="_Hlt88900062"/>
      <w:bookmarkEnd w:id="79"/>
      <w:bookmarkStart w:id="80" w:name="_Hlt88841837"/>
      <w:bookmarkEnd w:id="80"/>
    </w:p>
    <w:p>
      <w:pPr>
        <w:pStyle w:val="2"/>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81" w:name="_Toc256666800"/>
      <w:bookmarkStart w:id="82" w:name="_Toc10998"/>
      <w:bookmarkStart w:id="83" w:name="_Toc256666920"/>
      <w:bookmarkStart w:id="84" w:name="_Toc482624800"/>
      <w:bookmarkStart w:id="85" w:name="_Toc26536"/>
      <w:r>
        <w:rPr>
          <w:rFonts w:hint="eastAsia" w:ascii="宋体" w:hAnsi="宋体"/>
          <w:color w:val="000000"/>
          <w:kern w:val="0"/>
          <w:sz w:val="24"/>
          <w:szCs w:val="24"/>
        </w:rPr>
        <w:t>第十一部分  基金资产的估值</w:t>
      </w:r>
      <w:bookmarkEnd w:id="81"/>
      <w:bookmarkEnd w:id="82"/>
      <w:bookmarkEnd w:id="83"/>
      <w:bookmarkEnd w:id="84"/>
      <w:bookmarkEnd w:id="85"/>
    </w:p>
    <w:p>
      <w:pPr>
        <w:spacing w:line="360" w:lineRule="auto"/>
        <w:ind w:firstLine="480" w:firstLineChars="200"/>
        <w:rPr>
          <w:rFonts w:ascii="宋体" w:hAnsi="宋体"/>
          <w:color w:val="000000"/>
          <w:kern w:val="0"/>
          <w:sz w:val="24"/>
        </w:rPr>
      </w:pPr>
      <w:bookmarkStart w:id="86" w:name="_Hlt88900318"/>
      <w:bookmarkEnd w:id="86"/>
      <w:r>
        <w:rPr>
          <w:rFonts w:hint="eastAsia" w:ascii="宋体" w:hAnsi="宋体"/>
          <w:color w:val="000000"/>
          <w:kern w:val="0"/>
          <w:sz w:val="24"/>
        </w:rPr>
        <w:t>（一）估值日</w:t>
      </w:r>
    </w:p>
    <w:p>
      <w:pPr>
        <w:spacing w:line="360" w:lineRule="auto"/>
        <w:ind w:firstLine="480" w:firstLineChars="20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本基金的估值日为本基金相关的证券交易场所的交易日以及国家法律法规规定需要对外披露基金资产净值、各类基金份额的每万份基金已实现收益和7日年化收益率的非交易日</w:t>
      </w:r>
      <w:r>
        <w:rPr>
          <w:rFonts w:hint="eastAsia" w:ascii="宋体" w:hAnsi="宋体"/>
          <w:color w:val="000000"/>
          <w:kern w:val="0"/>
          <w:sz w:val="24"/>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（二）估值对象</w:t>
      </w:r>
    </w:p>
    <w:p>
      <w:pPr>
        <w:spacing w:line="360" w:lineRule="auto"/>
        <w:ind w:firstLine="480" w:firstLineChars="200"/>
        <w:rPr>
          <w:bCs/>
          <w:sz w:val="24"/>
          <w:szCs w:val="20"/>
        </w:rPr>
      </w:pPr>
      <w:r>
        <w:rPr>
          <w:rFonts w:hint="eastAsia" w:ascii="宋体" w:hAnsi="宋体"/>
          <w:color w:val="000000"/>
          <w:kern w:val="0"/>
          <w:sz w:val="24"/>
        </w:rPr>
        <w:t>基金所拥有的各类证券和银行存款本息、应收款项、其它投资等资产及负债。</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（三）估值方法</w:t>
      </w:r>
    </w:p>
    <w:p>
      <w:pPr>
        <w:autoSpaceDE w:val="0"/>
        <w:autoSpaceDN w:val="0"/>
        <w:adjustRightInd w:val="0"/>
        <w:spacing w:line="360" w:lineRule="auto"/>
        <w:ind w:firstLine="480" w:firstLineChars="20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pPr>
        <w:autoSpaceDE w:val="0"/>
        <w:autoSpaceDN w:val="0"/>
        <w:adjustRightInd w:val="0"/>
        <w:spacing w:line="360" w:lineRule="auto"/>
        <w:ind w:firstLine="480" w:firstLineChars="20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。当影子定价确定的基金资产净值与摊余成本法计算的基金资产净值的负偏离度绝对值达到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时，基金管理人应当使用风险准备金或者固有资金弥补潜在资产损失，将负偏离度绝对值控制在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pPr>
        <w:autoSpaceDE w:val="0"/>
        <w:autoSpaceDN w:val="0"/>
        <w:adjustRightInd w:val="0"/>
        <w:spacing w:line="360" w:lineRule="auto"/>
        <w:ind w:firstLine="424" w:firstLineChars="177"/>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pPr>
        <w:autoSpaceDE w:val="0"/>
        <w:autoSpaceDN w:val="0"/>
        <w:adjustRightInd w:val="0"/>
        <w:spacing w:line="360" w:lineRule="auto"/>
        <w:ind w:firstLine="424" w:firstLineChars="177"/>
        <w:jc w:val="left"/>
        <w:rPr>
          <w:bCs/>
          <w:sz w:val="24"/>
        </w:rPr>
      </w:pPr>
      <w:r>
        <w:rPr>
          <w:bCs/>
          <w:sz w:val="24"/>
        </w:rPr>
        <w:t>4</w:t>
      </w:r>
      <w:r>
        <w:rPr>
          <w:rFonts w:hint="eastAsia"/>
          <w:bCs/>
          <w:sz w:val="24"/>
        </w:rPr>
        <w:t>、相关法律法规以及监管部门有强制规定的，从其规定。如有新增事项，按国家最新规定估值。</w:t>
      </w:r>
    </w:p>
    <w:p>
      <w:pPr>
        <w:autoSpaceDE w:val="0"/>
        <w:autoSpaceDN w:val="0"/>
        <w:adjustRightInd w:val="0"/>
        <w:spacing w:line="360" w:lineRule="auto"/>
        <w:ind w:firstLine="424" w:firstLineChars="177"/>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pPr>
        <w:spacing w:line="360" w:lineRule="auto"/>
        <w:ind w:firstLine="424" w:firstLineChars="177"/>
        <w:rPr>
          <w:rFonts w:ascii="宋体" w:hAnsi="宋体"/>
          <w:color w:val="000000"/>
          <w:kern w:val="0"/>
          <w:sz w:val="24"/>
        </w:rPr>
      </w:pPr>
      <w:r>
        <w:rPr>
          <w:rFonts w:hint="eastAsia"/>
          <w:bCs/>
          <w:sz w:val="24"/>
        </w:rPr>
        <w:t>根据有关法律法规，基金资产净值、每万份基金已实现收益及7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7日年化收益率的计算结果对外予以公布。</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（四）估值程序</w:t>
      </w:r>
    </w:p>
    <w:p>
      <w:pPr>
        <w:spacing w:line="360" w:lineRule="auto"/>
        <w:ind w:firstLine="424" w:firstLineChars="177"/>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r>
        <w:rPr>
          <w:bCs/>
          <w:sz w:val="24"/>
        </w:rPr>
        <w:t>7</w:t>
      </w:r>
      <w:r>
        <w:rPr>
          <w:rFonts w:hint="eastAsia"/>
          <w:bCs/>
          <w:sz w:val="24"/>
        </w:rPr>
        <w:t>日年化收益率是以最近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收益所折算的年资产收益率，精确到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pPr>
        <w:spacing w:line="360" w:lineRule="auto"/>
        <w:ind w:firstLine="424" w:firstLineChars="177"/>
        <w:rPr>
          <w:bCs/>
          <w:sz w:val="24"/>
        </w:rPr>
      </w:pPr>
      <w:r>
        <w:rPr>
          <w:bCs/>
          <w:sz w:val="24"/>
        </w:rPr>
        <w:t>2</w:t>
      </w:r>
      <w:r>
        <w:rPr>
          <w:rFonts w:hint="eastAsia"/>
          <w:bCs/>
          <w:sz w:val="24"/>
        </w:rPr>
        <w:t>、基金管理人应每个工作日对基金资产估值。但基金管理人根据法律法规或基金合同的规定暂停估值时除外。基金管理人每个工作日对基金资产估值后，将估值结果发送基金托管人，经基金托管人复核无误后，由基金管理人对外公布。</w:t>
      </w:r>
    </w:p>
    <w:p>
      <w:pPr>
        <w:spacing w:line="360" w:lineRule="auto"/>
        <w:ind w:firstLine="424" w:firstLineChars="177"/>
        <w:rPr>
          <w:bCs/>
          <w:sz w:val="24"/>
        </w:rPr>
      </w:pPr>
      <w:r>
        <w:rPr>
          <w:rFonts w:hint="eastAsia"/>
          <w:bCs/>
          <w:sz w:val="24"/>
        </w:rPr>
        <w:t>（五）估值错误的处理</w:t>
      </w:r>
    </w:p>
    <w:p>
      <w:pPr>
        <w:spacing w:line="360" w:lineRule="auto"/>
        <w:ind w:firstLine="424" w:firstLineChars="177"/>
        <w:rPr>
          <w:bCs/>
          <w:sz w:val="24"/>
        </w:rPr>
      </w:pPr>
      <w:r>
        <w:rPr>
          <w:bCs/>
          <w:sz w:val="24"/>
        </w:rPr>
        <w:t>基金管理人和基金托管人将采取必要、适当、合理的措施确保基金资产估值的准确性、及时性。当基金资产的计价导致每万份基金已实现收益小数点后4</w:t>
      </w:r>
      <w:r>
        <w:rPr>
          <w:rFonts w:hint="eastAsia"/>
          <w:bCs/>
          <w:sz w:val="24"/>
        </w:rPr>
        <w:t>位或7日年化收益率百分号内小数点后</w:t>
      </w:r>
      <w:r>
        <w:rPr>
          <w:bCs/>
          <w:sz w:val="24"/>
        </w:rPr>
        <w:t>3</w:t>
      </w:r>
      <w:r>
        <w:rPr>
          <w:rFonts w:hint="eastAsia"/>
          <w:bCs/>
          <w:sz w:val="24"/>
        </w:rPr>
        <w:t>位以内发生差错时，视为估值错误。</w:t>
      </w:r>
    </w:p>
    <w:p>
      <w:pPr>
        <w:spacing w:line="360" w:lineRule="auto"/>
        <w:ind w:firstLine="424" w:firstLineChars="177"/>
        <w:rPr>
          <w:bCs/>
          <w:sz w:val="24"/>
        </w:rPr>
      </w:pPr>
      <w:r>
        <w:rPr>
          <w:rFonts w:hint="eastAsia"/>
          <w:bCs/>
          <w:sz w:val="24"/>
        </w:rPr>
        <w:t>基金合同的当事人应按照以下约定处理：</w:t>
      </w:r>
    </w:p>
    <w:p>
      <w:pPr>
        <w:spacing w:line="360" w:lineRule="auto"/>
        <w:ind w:firstLine="424" w:firstLineChars="177"/>
        <w:rPr>
          <w:bCs/>
          <w:sz w:val="24"/>
        </w:rPr>
      </w:pPr>
      <w:r>
        <w:rPr>
          <w:bCs/>
          <w:sz w:val="24"/>
        </w:rPr>
        <w:t>1</w:t>
      </w:r>
      <w:r>
        <w:rPr>
          <w:rFonts w:hint="eastAsia"/>
          <w:bCs/>
          <w:sz w:val="24"/>
        </w:rPr>
        <w:t>、估值错误类型</w:t>
      </w:r>
    </w:p>
    <w:p>
      <w:pPr>
        <w:spacing w:line="360" w:lineRule="auto"/>
        <w:ind w:firstLine="424" w:firstLineChars="177"/>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pPr>
        <w:spacing w:line="360" w:lineRule="auto"/>
        <w:ind w:firstLine="424" w:firstLineChars="177"/>
        <w:rPr>
          <w:bCs/>
          <w:sz w:val="24"/>
        </w:rPr>
      </w:pPr>
      <w:r>
        <w:rPr>
          <w:rFonts w:hint="eastAsia"/>
          <w:bCs/>
          <w:sz w:val="24"/>
        </w:rPr>
        <w:t>上述估值错误的主要类型包括但不限于：资料申报差错、数据传输差错、数据计算差错、系统故障差错、下达指令差错等。</w:t>
      </w:r>
    </w:p>
    <w:p>
      <w:pPr>
        <w:spacing w:line="360" w:lineRule="auto"/>
        <w:ind w:firstLine="424" w:firstLineChars="177"/>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pPr>
        <w:spacing w:line="360" w:lineRule="auto"/>
        <w:ind w:firstLine="424" w:firstLineChars="177"/>
        <w:rPr>
          <w:bCs/>
          <w:sz w:val="24"/>
        </w:rPr>
      </w:pPr>
      <w:r>
        <w:rPr>
          <w:bCs/>
          <w:sz w:val="24"/>
        </w:rPr>
        <w:t>2</w:t>
      </w:r>
      <w:r>
        <w:rPr>
          <w:rFonts w:hint="eastAsia"/>
          <w:bCs/>
          <w:sz w:val="24"/>
        </w:rPr>
        <w:t>、估值错误处理原则</w:t>
      </w:r>
    </w:p>
    <w:p>
      <w:pPr>
        <w:spacing w:line="360" w:lineRule="auto"/>
        <w:ind w:firstLine="424" w:firstLineChars="177"/>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pPr>
        <w:spacing w:line="360" w:lineRule="auto"/>
        <w:ind w:firstLine="424" w:firstLineChars="177"/>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pPr>
        <w:spacing w:line="360" w:lineRule="auto"/>
        <w:ind w:firstLine="424" w:firstLineChars="177"/>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w:t>
      </w:r>
      <w:r>
        <w:rPr>
          <w:bCs/>
          <w:sz w:val="24"/>
        </w:rPr>
        <w:t>造成其他当事人的利益损失(“</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pPr>
        <w:spacing w:line="360" w:lineRule="auto"/>
        <w:ind w:firstLine="424" w:firstLineChars="177"/>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pPr>
        <w:spacing w:line="360" w:lineRule="auto"/>
        <w:ind w:firstLine="424" w:firstLineChars="177"/>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pPr>
        <w:spacing w:line="360" w:lineRule="auto"/>
        <w:ind w:firstLine="424" w:firstLineChars="177"/>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pPr>
        <w:spacing w:line="360" w:lineRule="auto"/>
        <w:ind w:firstLine="424" w:firstLineChars="177"/>
        <w:rPr>
          <w:bCs/>
          <w:sz w:val="24"/>
        </w:rPr>
      </w:pPr>
      <w:r>
        <w:rPr>
          <w:rFonts w:hint="eastAsia"/>
          <w:bCs/>
          <w:sz w:val="24"/>
        </w:rPr>
        <w:t>（</w:t>
      </w:r>
      <w:r>
        <w:rPr>
          <w:bCs/>
          <w:sz w:val="24"/>
        </w:rPr>
        <w:t>7</w:t>
      </w:r>
      <w:r>
        <w:rPr>
          <w:rFonts w:hint="eastAsia"/>
          <w:bCs/>
          <w:sz w:val="24"/>
        </w:rPr>
        <w:t>）按法律法规规定的其他原则处理估值错误。</w:t>
      </w:r>
    </w:p>
    <w:p>
      <w:pPr>
        <w:spacing w:line="360" w:lineRule="auto"/>
        <w:ind w:firstLine="424" w:firstLineChars="177"/>
        <w:rPr>
          <w:bCs/>
          <w:sz w:val="24"/>
        </w:rPr>
      </w:pPr>
      <w:r>
        <w:rPr>
          <w:bCs/>
          <w:sz w:val="24"/>
        </w:rPr>
        <w:t>3</w:t>
      </w:r>
      <w:r>
        <w:rPr>
          <w:rFonts w:hint="eastAsia"/>
          <w:bCs/>
          <w:sz w:val="24"/>
        </w:rPr>
        <w:t>、估值错误处理程序</w:t>
      </w:r>
    </w:p>
    <w:p>
      <w:pPr>
        <w:spacing w:line="360" w:lineRule="auto"/>
        <w:ind w:firstLine="424" w:firstLineChars="177"/>
        <w:rPr>
          <w:bCs/>
          <w:sz w:val="24"/>
        </w:rPr>
      </w:pPr>
      <w:r>
        <w:rPr>
          <w:rFonts w:hint="eastAsia"/>
          <w:bCs/>
          <w:sz w:val="24"/>
        </w:rPr>
        <w:t>估值错误被发现后，有关的当事人应当及时进行处理，处理的程序如下：</w:t>
      </w:r>
    </w:p>
    <w:p>
      <w:pPr>
        <w:spacing w:line="360" w:lineRule="auto"/>
        <w:ind w:firstLine="424" w:firstLineChars="177"/>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pPr>
        <w:spacing w:line="360" w:lineRule="auto"/>
        <w:ind w:firstLine="424" w:firstLineChars="177"/>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pPr>
        <w:spacing w:line="360" w:lineRule="auto"/>
        <w:ind w:firstLine="424" w:firstLineChars="177"/>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pPr>
        <w:spacing w:line="360" w:lineRule="auto"/>
        <w:ind w:firstLine="424" w:firstLineChars="177"/>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pPr>
        <w:spacing w:line="360" w:lineRule="auto"/>
        <w:ind w:firstLine="424" w:firstLineChars="177"/>
        <w:rPr>
          <w:bCs/>
          <w:sz w:val="24"/>
        </w:rPr>
      </w:pPr>
      <w:r>
        <w:rPr>
          <w:bCs/>
          <w:sz w:val="24"/>
        </w:rPr>
        <w:t>4</w:t>
      </w:r>
      <w:r>
        <w:rPr>
          <w:rFonts w:hint="eastAsia"/>
          <w:bCs/>
          <w:sz w:val="24"/>
        </w:rPr>
        <w:t>、基金估值错误处理的方法如下：</w:t>
      </w:r>
    </w:p>
    <w:p>
      <w:pPr>
        <w:spacing w:line="360" w:lineRule="auto"/>
        <w:ind w:firstLine="424" w:firstLineChars="177"/>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pPr>
        <w:spacing w:line="360" w:lineRule="auto"/>
        <w:ind w:firstLine="424" w:firstLineChars="177"/>
        <w:rPr>
          <w:rFonts w:asciiTheme="minorEastAsia" w:hAnsiTheme="minorEastAsia" w:eastAsia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hint="eastAsia" w:asciiTheme="minorEastAsia" w:hAnsiTheme="minorEastAsia" w:eastAsiaTheme="minorEastAsia"/>
          <w:bCs/>
          <w:sz w:val="24"/>
        </w:rPr>
        <w:t>报中国证监会备案；错误偏差达到基金资产净值的</w:t>
      </w:r>
      <w:r>
        <w:rPr>
          <w:rFonts w:asciiTheme="minorEastAsia" w:hAnsiTheme="minorEastAsia" w:eastAsiaTheme="minorEastAsia"/>
          <w:bCs/>
          <w:sz w:val="24"/>
        </w:rPr>
        <w:t>0.5%</w:t>
      </w:r>
      <w:r>
        <w:rPr>
          <w:rFonts w:hint="eastAsia" w:asciiTheme="minorEastAsia" w:hAnsiTheme="minorEastAsia" w:eastAsiaTheme="minorEastAsia"/>
          <w:bCs/>
          <w:sz w:val="24"/>
        </w:rPr>
        <w:t>时，基金管理人应当公告。</w:t>
      </w:r>
    </w:p>
    <w:p>
      <w:pPr>
        <w:spacing w:line="360" w:lineRule="auto"/>
        <w:ind w:firstLine="424" w:firstLineChars="177"/>
        <w:rPr>
          <w:rFonts w:asciiTheme="minorEastAsia" w:hAnsiTheme="minorEastAsia" w:eastAsiaTheme="minorEastAsia"/>
          <w:color w:val="000000"/>
          <w:kern w:val="0"/>
          <w:sz w:val="24"/>
        </w:rPr>
      </w:pPr>
      <w:r>
        <w:rPr>
          <w:rFonts w:hint="eastAsia" w:asciiTheme="minorEastAsia" w:hAnsiTheme="minorEastAsia" w:eastAsiaTheme="minorEastAsia"/>
          <w:bCs/>
          <w:sz w:val="24"/>
        </w:rPr>
        <w:t>（</w:t>
      </w:r>
      <w:r>
        <w:rPr>
          <w:rFonts w:asciiTheme="minorEastAsia" w:hAnsiTheme="minorEastAsia" w:eastAsiaTheme="minorEastAsia"/>
          <w:bCs/>
          <w:sz w:val="24"/>
        </w:rPr>
        <w:t>3</w:t>
      </w:r>
      <w:r>
        <w:rPr>
          <w:rFonts w:hint="eastAsia" w:asciiTheme="minorEastAsia" w:hAnsiTheme="minorEastAsia" w:eastAsiaTheme="minorEastAsia"/>
          <w:bCs/>
          <w:sz w:val="24"/>
        </w:rPr>
        <w:t>）前述内容如法律法规或监管机关另有规定的，从其规定处理。</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（六）暂停估值的情形</w:t>
      </w:r>
    </w:p>
    <w:p>
      <w:pPr>
        <w:spacing w:line="360" w:lineRule="auto"/>
        <w:ind w:firstLine="480" w:firstLineChars="200"/>
        <w:rPr>
          <w:bCs/>
          <w:sz w:val="24"/>
        </w:rPr>
      </w:pPr>
      <w:r>
        <w:rPr>
          <w:bCs/>
          <w:sz w:val="24"/>
        </w:rPr>
        <w:t>1、基金投资所涉及的证券交易市场遇法定节假日或因其他原因暂停营业时；</w:t>
      </w:r>
    </w:p>
    <w:p>
      <w:pPr>
        <w:spacing w:line="360" w:lineRule="auto"/>
        <w:ind w:firstLine="480" w:firstLineChars="200"/>
        <w:rPr>
          <w:bCs/>
          <w:sz w:val="24"/>
        </w:rPr>
      </w:pPr>
      <w:r>
        <w:rPr>
          <w:bCs/>
          <w:sz w:val="24"/>
        </w:rPr>
        <w:t>2、因不可抗力致使基金管理人、基金托管人无法准确评估基金资产价值时；</w:t>
      </w:r>
    </w:p>
    <w:p>
      <w:pPr>
        <w:spacing w:line="360" w:lineRule="auto"/>
        <w:ind w:firstLine="480" w:firstLineChars="200"/>
        <w:rPr>
          <w:rFonts w:ascii="宋体" w:hAnsi="宋体"/>
          <w:color w:val="000000"/>
          <w:kern w:val="0"/>
          <w:sz w:val="24"/>
        </w:rPr>
      </w:pPr>
      <w:r>
        <w:rPr>
          <w:bCs/>
          <w:sz w:val="24"/>
        </w:rPr>
        <w:t>3、中国证监会和基金合同认定的其它情形。</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（七）基金净值的确认</w:t>
      </w:r>
    </w:p>
    <w:p>
      <w:pPr>
        <w:spacing w:line="360" w:lineRule="auto"/>
        <w:ind w:firstLine="424" w:firstLineChars="177"/>
        <w:rPr>
          <w:rFonts w:ascii="宋体" w:hAnsi="宋体"/>
          <w:color w:val="000000"/>
          <w:kern w:val="0"/>
          <w:sz w:val="24"/>
        </w:rPr>
      </w:pPr>
      <w:r>
        <w:rPr>
          <w:bCs/>
          <w:sz w:val="24"/>
        </w:rPr>
        <w:t>用于基金信息披露的基金资产净值、各类基金份额的每万份基金已实现收益和7日年化收益率由基金管理人负责计算，基金托管人负责进行复核。基金管理人应于每个</w:t>
      </w:r>
      <w:r>
        <w:rPr>
          <w:rFonts w:hint="eastAsia"/>
          <w:bCs/>
          <w:sz w:val="24"/>
        </w:rPr>
        <w:t>工作</w:t>
      </w:r>
      <w:r>
        <w:rPr>
          <w:bCs/>
          <w:sz w:val="24"/>
        </w:rPr>
        <w:t>交易结束后计算当日的基金资产净值、各类基金份额的每万份基金已实现收益和7日年化收益率并发送给基金托管人。基金托管人对净值计算结果复核确认后发送给基金管理人，由基金管理人对基金净值予以公布。</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（八</w:t>
      </w:r>
      <w:r>
        <w:rPr>
          <w:rFonts w:ascii="宋体" w:hAnsi="宋体"/>
          <w:color w:val="000000"/>
          <w:kern w:val="0"/>
          <w:sz w:val="24"/>
        </w:rPr>
        <w:t>）</w:t>
      </w:r>
      <w:r>
        <w:rPr>
          <w:rFonts w:hint="eastAsia" w:ascii="宋体" w:hAnsi="宋体"/>
          <w:color w:val="000000"/>
          <w:kern w:val="0"/>
          <w:sz w:val="24"/>
        </w:rPr>
        <w:t>特殊情况的处理</w:t>
      </w:r>
    </w:p>
    <w:p>
      <w:pPr>
        <w:spacing w:line="360" w:lineRule="auto"/>
        <w:ind w:firstLine="480" w:firstLineChars="200"/>
        <w:rPr>
          <w:bCs/>
          <w:sz w:val="24"/>
        </w:rPr>
      </w:pPr>
      <w:r>
        <w:rPr>
          <w:rFonts w:hint="eastAsia"/>
          <w:bCs/>
          <w:sz w:val="24"/>
        </w:rPr>
        <w:t>1、基金管理人或基金托管人按估值方法的第3项进行估值时，所造成的误差不作为基金资产估值错误处理。</w:t>
      </w:r>
    </w:p>
    <w:p>
      <w:pPr>
        <w:spacing w:line="360" w:lineRule="auto"/>
        <w:ind w:firstLine="480" w:firstLineChars="200"/>
        <w:rPr>
          <w:bCs/>
          <w:sz w:val="24"/>
        </w:rPr>
      </w:pPr>
      <w:r>
        <w:rPr>
          <w:rFonts w:hint="eastAsia"/>
          <w:bCs/>
          <w:sz w:val="24"/>
        </w:rPr>
        <w:t>2、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pPr>
        <w:spacing w:line="360" w:lineRule="auto"/>
        <w:ind w:firstLine="424" w:firstLineChars="177"/>
        <w:rPr>
          <w:bCs/>
          <w:sz w:val="24"/>
        </w:rPr>
      </w:pPr>
    </w:p>
    <w:p>
      <w:pPr>
        <w:pStyle w:val="2"/>
        <w:spacing w:line="360" w:lineRule="auto"/>
        <w:jc w:val="center"/>
        <w:rPr>
          <w:rFonts w:ascii="宋体" w:hAnsi="宋体"/>
          <w:color w:val="000000"/>
          <w:kern w:val="0"/>
          <w:sz w:val="24"/>
          <w:szCs w:val="24"/>
        </w:rPr>
      </w:pPr>
      <w:r>
        <w:rPr>
          <w:rFonts w:ascii="宋体" w:hAnsi="宋体"/>
          <w:color w:val="000000"/>
          <w:kern w:val="0"/>
          <w:sz w:val="24"/>
        </w:rPr>
        <w:br w:type="page"/>
      </w:r>
      <w:bookmarkStart w:id="87" w:name="_Toc482624801"/>
      <w:bookmarkStart w:id="88" w:name="_Toc256666921"/>
      <w:bookmarkStart w:id="89" w:name="_Toc6757"/>
      <w:bookmarkStart w:id="90" w:name="_Toc256666801"/>
      <w:bookmarkStart w:id="91" w:name="_Toc12378"/>
      <w:r>
        <w:rPr>
          <w:rFonts w:hint="eastAsia" w:ascii="宋体" w:hAnsi="宋体"/>
          <w:color w:val="000000"/>
          <w:kern w:val="0"/>
          <w:sz w:val="24"/>
          <w:szCs w:val="24"/>
        </w:rPr>
        <w:t>第十二部分  基金的收益与分配</w:t>
      </w:r>
      <w:bookmarkEnd w:id="87"/>
      <w:bookmarkEnd w:id="88"/>
      <w:bookmarkEnd w:id="89"/>
      <w:bookmarkEnd w:id="90"/>
      <w:bookmarkEnd w:id="91"/>
    </w:p>
    <w:p>
      <w:pPr>
        <w:spacing w:line="360" w:lineRule="auto"/>
        <w:ind w:firstLine="480" w:firstLineChars="200"/>
        <w:rPr>
          <w:rFonts w:ascii="宋体" w:hAnsi="宋体"/>
          <w:color w:val="000000"/>
          <w:kern w:val="0"/>
          <w:sz w:val="24"/>
        </w:rPr>
      </w:pPr>
      <w:r>
        <w:rPr>
          <w:rFonts w:hint="eastAsia" w:ascii="宋体" w:hAnsi="宋体"/>
          <w:color w:val="000000"/>
          <w:kern w:val="0"/>
          <w:sz w:val="24"/>
        </w:rPr>
        <w:t>（一）基金利润的构成</w:t>
      </w:r>
    </w:p>
    <w:p>
      <w:pPr>
        <w:spacing w:line="360" w:lineRule="auto"/>
        <w:ind w:firstLine="540" w:firstLineChars="225"/>
        <w:rPr>
          <w:bCs/>
          <w:sz w:val="24"/>
        </w:rPr>
      </w:pPr>
      <w:r>
        <w:rPr>
          <w:bCs/>
          <w:sz w:val="24"/>
        </w:rPr>
        <w:t>基金利润指基金利息收入、投资收益、公允价值变动收益和其他收入扣除相关费用后的余额，基金已实现收益指基金利润减去公允价值变动收益后的余额。</w:t>
      </w:r>
    </w:p>
    <w:p>
      <w:pPr>
        <w:spacing w:line="360" w:lineRule="auto"/>
        <w:ind w:firstLine="424" w:firstLineChars="177"/>
        <w:rPr>
          <w:rFonts w:ascii="宋体" w:hAnsi="宋体"/>
          <w:color w:val="000000"/>
          <w:kern w:val="0"/>
          <w:sz w:val="24"/>
        </w:rPr>
      </w:pPr>
      <w:r>
        <w:rPr>
          <w:rFonts w:hint="eastAsia"/>
          <w:bCs/>
          <w:sz w:val="24"/>
        </w:rPr>
        <w:t>（二）</w:t>
      </w:r>
      <w:r>
        <w:rPr>
          <w:rFonts w:hint="eastAsia" w:ascii="宋体" w:hAnsi="宋体"/>
          <w:color w:val="000000"/>
          <w:kern w:val="0"/>
          <w:sz w:val="24"/>
        </w:rPr>
        <w:t>基金收益分配原则</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本基金收益分配应遵循下列原则：</w:t>
      </w:r>
    </w:p>
    <w:p>
      <w:pPr>
        <w:autoSpaceDE w:val="0"/>
        <w:autoSpaceDN w:val="0"/>
        <w:adjustRightInd w:val="0"/>
        <w:spacing w:line="360" w:lineRule="auto"/>
        <w:ind w:firstLine="424" w:firstLineChars="177"/>
        <w:jc w:val="left"/>
        <w:rPr>
          <w:bCs/>
          <w:sz w:val="24"/>
        </w:rPr>
      </w:pPr>
      <w:r>
        <w:rPr>
          <w:bCs/>
          <w:sz w:val="24"/>
        </w:rPr>
        <w:t>1</w:t>
      </w:r>
      <w:r>
        <w:rPr>
          <w:rFonts w:hint="eastAsia"/>
          <w:bCs/>
          <w:sz w:val="24"/>
        </w:rPr>
        <w:t>、本基金每份基金份额享有同等分配权；</w:t>
      </w:r>
    </w:p>
    <w:p>
      <w:pPr>
        <w:autoSpaceDE w:val="0"/>
        <w:autoSpaceDN w:val="0"/>
        <w:adjustRightInd w:val="0"/>
        <w:spacing w:line="360" w:lineRule="auto"/>
        <w:ind w:firstLine="424" w:firstLineChars="177"/>
        <w:jc w:val="left"/>
        <w:rPr>
          <w:bCs/>
          <w:sz w:val="24"/>
        </w:rPr>
      </w:pPr>
      <w:r>
        <w:rPr>
          <w:bCs/>
          <w:sz w:val="24"/>
        </w:rPr>
        <w:t>2</w:t>
      </w:r>
      <w:r>
        <w:rPr>
          <w:rFonts w:hint="eastAsia"/>
          <w:bCs/>
          <w:sz w:val="24"/>
        </w:rPr>
        <w:t>、本基金收益分配方式为红利再投资，免收再投资的费用；</w:t>
      </w:r>
    </w:p>
    <w:p>
      <w:pPr>
        <w:autoSpaceDE w:val="0"/>
        <w:autoSpaceDN w:val="0"/>
        <w:adjustRightInd w:val="0"/>
        <w:spacing w:line="360" w:lineRule="auto"/>
        <w:ind w:firstLine="424" w:firstLineChars="177"/>
        <w:jc w:val="left"/>
        <w:rPr>
          <w:bCs/>
          <w:sz w:val="24"/>
        </w:rPr>
      </w:pPr>
      <w:r>
        <w:rPr>
          <w:bCs/>
          <w:sz w:val="24"/>
        </w:rPr>
        <w:t>3</w:t>
      </w:r>
      <w:r>
        <w:rPr>
          <w:rFonts w:hint="eastAsia"/>
          <w:bCs/>
          <w:sz w:val="24"/>
        </w:rPr>
        <w:t>、</w:t>
      </w:r>
      <w:r>
        <w:rPr>
          <w:bCs/>
          <w:sz w:val="24"/>
        </w:rPr>
        <w:t>“</w:t>
      </w:r>
      <w:r>
        <w:rPr>
          <w:rFonts w:hint="eastAsia"/>
          <w:bCs/>
          <w:sz w:val="24"/>
        </w:rPr>
        <w:t>每日分配、按月支付</w:t>
      </w:r>
      <w:r>
        <w:rPr>
          <w:bCs/>
          <w:sz w:val="24"/>
        </w:rPr>
        <w:t>”</w:t>
      </w:r>
      <w:r>
        <w:rPr>
          <w:rFonts w:hint="eastAsia"/>
          <w:bCs/>
          <w:sz w:val="24"/>
        </w:rPr>
        <w:t>。本基金根据每日基金收益情况，以每万份基金已实现收益为基准，为投资人每日计算当日收益并分配，每月进行支付。投资人当日收益分配的计算保留到小数点后</w:t>
      </w:r>
      <w:r>
        <w:rPr>
          <w:bCs/>
          <w:sz w:val="24"/>
        </w:rPr>
        <w:t>2</w:t>
      </w:r>
      <w:r>
        <w:rPr>
          <w:rFonts w:hint="eastAsia"/>
          <w:bCs/>
          <w:sz w:val="24"/>
        </w:rPr>
        <w:t>位，小数点后第</w:t>
      </w:r>
      <w:r>
        <w:rPr>
          <w:bCs/>
          <w:sz w:val="24"/>
        </w:rPr>
        <w:t>3</w:t>
      </w:r>
      <w:r>
        <w:rPr>
          <w:rFonts w:hint="eastAsia"/>
          <w:bCs/>
          <w:sz w:val="24"/>
        </w:rPr>
        <w:t>位按去尾原则处理，因去尾形成的余额进行再次分配，直到分完为止；</w:t>
      </w:r>
    </w:p>
    <w:p>
      <w:pPr>
        <w:autoSpaceDE w:val="0"/>
        <w:autoSpaceDN w:val="0"/>
        <w:adjustRightInd w:val="0"/>
        <w:spacing w:line="360" w:lineRule="auto"/>
        <w:ind w:firstLine="424" w:firstLineChars="177"/>
        <w:jc w:val="left"/>
        <w:rPr>
          <w:bCs/>
          <w:sz w:val="24"/>
        </w:rPr>
      </w:pPr>
      <w:r>
        <w:rPr>
          <w:bCs/>
          <w:sz w:val="24"/>
        </w:rPr>
        <w:t>4</w:t>
      </w:r>
      <w:r>
        <w:rPr>
          <w:rFonts w:hint="eastAsia"/>
          <w:bCs/>
          <w:sz w:val="24"/>
        </w:rPr>
        <w:t>、本基金根据每日收益情况，将当日收益全部分配，若当日已实现收益大于零时，为投资人记正收益；若当日已实现收益小于零时，为投资人记负收益；若当日已实现收益等于零时，当日投资人不记收益；</w:t>
      </w:r>
    </w:p>
    <w:p>
      <w:pPr>
        <w:autoSpaceDE w:val="0"/>
        <w:autoSpaceDN w:val="0"/>
        <w:adjustRightInd w:val="0"/>
        <w:spacing w:line="360" w:lineRule="auto"/>
        <w:ind w:firstLine="424" w:firstLineChars="177"/>
        <w:jc w:val="left"/>
        <w:rPr>
          <w:bCs/>
          <w:sz w:val="24"/>
        </w:rPr>
      </w:pPr>
      <w:r>
        <w:rPr>
          <w:bCs/>
          <w:sz w:val="24"/>
        </w:rPr>
        <w:t>5、本基金每日进行收益计算并分配，</w:t>
      </w:r>
      <w:r>
        <w:rPr>
          <w:rFonts w:hint="eastAsia"/>
          <w:bCs/>
          <w:sz w:val="24"/>
        </w:rPr>
        <w:t>每月</w:t>
      </w:r>
      <w:r>
        <w:rPr>
          <w:bCs/>
          <w:sz w:val="24"/>
        </w:rPr>
        <w:t>收益支付方式只采用红利再投资（即红利转基金份额）方式</w:t>
      </w:r>
      <w:r>
        <w:rPr>
          <w:rFonts w:hint="eastAsia"/>
          <w:bCs/>
          <w:sz w:val="24"/>
        </w:rPr>
        <w:t>。</w:t>
      </w:r>
      <w:r>
        <w:rPr>
          <w:bCs/>
          <w:sz w:val="24"/>
        </w:rPr>
        <w:t>若投资人在每月累计收益支付时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Pr>
          <w:bCs/>
          <w:sz w:val="24"/>
        </w:rPr>
        <w:t>若投资人赎回</w:t>
      </w:r>
      <w:r>
        <w:rPr>
          <w:rFonts w:hint="eastAsia"/>
          <w:bCs/>
          <w:sz w:val="24"/>
        </w:rPr>
        <w:t>全部</w:t>
      </w:r>
      <w:r>
        <w:rPr>
          <w:bCs/>
          <w:sz w:val="24"/>
        </w:rPr>
        <w:t>基金份额时，其对应收益将立即结清；若收益为负值，则从投资人赎回基金款中扣除；</w:t>
      </w:r>
    </w:p>
    <w:p>
      <w:pPr>
        <w:autoSpaceDE w:val="0"/>
        <w:autoSpaceDN w:val="0"/>
        <w:adjustRightInd w:val="0"/>
        <w:spacing w:line="360" w:lineRule="auto"/>
        <w:ind w:firstLine="424" w:firstLineChars="177"/>
        <w:jc w:val="left"/>
        <w:rPr>
          <w:bCs/>
          <w:sz w:val="24"/>
        </w:rPr>
      </w:pPr>
      <w:r>
        <w:rPr>
          <w:rFonts w:hint="eastAsia"/>
          <w:bCs/>
          <w:sz w:val="24"/>
        </w:rPr>
        <w:t>6、当日申购的基金份额自下一个工作日起，享有基金的收益分配权益；当日赎回的基金份额自下一个工作日起，不享有基金的收益分配权益；</w:t>
      </w:r>
    </w:p>
    <w:p>
      <w:pPr>
        <w:autoSpaceDE w:val="0"/>
        <w:autoSpaceDN w:val="0"/>
        <w:adjustRightInd w:val="0"/>
        <w:spacing w:line="360" w:lineRule="auto"/>
        <w:ind w:firstLine="424" w:firstLineChars="177"/>
        <w:jc w:val="left"/>
        <w:rPr>
          <w:bCs/>
          <w:sz w:val="24"/>
        </w:rPr>
      </w:pPr>
      <w:r>
        <w:rPr>
          <w:rFonts w:hint="eastAsia"/>
          <w:bCs/>
          <w:sz w:val="24"/>
        </w:rPr>
        <w:t>7、法律法规或监管机构另有规定的从其规定。</w:t>
      </w:r>
    </w:p>
    <w:p>
      <w:pPr>
        <w:spacing w:line="360" w:lineRule="auto"/>
        <w:ind w:firstLine="424" w:firstLineChars="177"/>
        <w:rPr>
          <w:rFonts w:ascii="宋体" w:hAnsi="宋体"/>
          <w:color w:val="000000"/>
          <w:kern w:val="0"/>
          <w:sz w:val="24"/>
        </w:rPr>
      </w:pPr>
      <w:bookmarkStart w:id="92" w:name="OLE_LINK5"/>
      <w:bookmarkStart w:id="93"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92"/>
      <w:bookmarkEnd w:id="93"/>
    </w:p>
    <w:p>
      <w:pPr>
        <w:spacing w:line="360" w:lineRule="auto"/>
        <w:ind w:firstLine="424" w:firstLineChars="177"/>
        <w:rPr>
          <w:rFonts w:ascii="宋体" w:hAnsi="宋体"/>
          <w:color w:val="000000"/>
          <w:kern w:val="0"/>
          <w:sz w:val="24"/>
        </w:rPr>
      </w:pPr>
      <w:r>
        <w:rPr>
          <w:rFonts w:hint="eastAsia" w:ascii="宋体" w:hAnsi="宋体"/>
          <w:color w:val="000000"/>
          <w:kern w:val="0"/>
          <w:sz w:val="24"/>
        </w:rPr>
        <w:t>（三）收益分配方案</w:t>
      </w:r>
    </w:p>
    <w:p>
      <w:pPr>
        <w:spacing w:line="360" w:lineRule="auto"/>
        <w:ind w:firstLine="424" w:firstLineChars="177"/>
        <w:rPr>
          <w:rFonts w:ascii="宋体" w:hAnsi="宋体"/>
          <w:color w:val="000000"/>
          <w:kern w:val="0"/>
          <w:sz w:val="24"/>
        </w:rPr>
      </w:pPr>
      <w:r>
        <w:rPr>
          <w:rFonts w:hint="eastAsia"/>
          <w:bCs/>
          <w:sz w:val="24"/>
        </w:rPr>
        <w:t>本基金按日计算并分配收益，每月</w:t>
      </w:r>
      <w:r>
        <w:rPr>
          <w:bCs/>
          <w:sz w:val="24"/>
        </w:rPr>
        <w:t>例行对上</w:t>
      </w:r>
      <w:r>
        <w:rPr>
          <w:rFonts w:hint="eastAsia"/>
          <w:bCs/>
          <w:sz w:val="24"/>
        </w:rPr>
        <w:t>一月分配</w:t>
      </w:r>
      <w:r>
        <w:rPr>
          <w:bCs/>
          <w:sz w:val="24"/>
        </w:rPr>
        <w:t>的</w:t>
      </w:r>
      <w:r>
        <w:rPr>
          <w:rFonts w:hint="eastAsia"/>
          <w:bCs/>
          <w:sz w:val="24"/>
        </w:rPr>
        <w:t>未付</w:t>
      </w:r>
      <w:r>
        <w:rPr>
          <w:bCs/>
          <w:sz w:val="24"/>
        </w:rPr>
        <w:t>收益进行收益结转，</w:t>
      </w:r>
      <w:r>
        <w:rPr>
          <w:rFonts w:hint="eastAsia"/>
          <w:bCs/>
          <w:sz w:val="24"/>
        </w:rPr>
        <w:t>基金管理人不另行公告。</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（四）收益分配的时间和程序</w:t>
      </w:r>
    </w:p>
    <w:p>
      <w:pPr>
        <w:spacing w:line="360" w:lineRule="auto"/>
        <w:ind w:firstLine="424" w:firstLineChars="177"/>
        <w:rPr>
          <w:rFonts w:ascii="宋体" w:hAnsi="宋体"/>
          <w:color w:val="000000"/>
          <w:kern w:val="0"/>
          <w:sz w:val="24"/>
        </w:rPr>
      </w:pPr>
      <w:r>
        <w:rPr>
          <w:rFonts w:hint="eastAsia"/>
          <w:bCs/>
          <w:sz w:val="24"/>
        </w:rPr>
        <w:t>本基金每日进行收益分配。每个工作日公告前一个开放日各类基金份额的每万份基金已实现收益和7日年化收益率。若遇法定节假日，应于节假日结束后第二个自然日，披露节假日期间各类</w:t>
      </w:r>
      <w:r>
        <w:rPr>
          <w:bCs/>
          <w:sz w:val="24"/>
        </w:rPr>
        <w:t>基金份额的</w:t>
      </w:r>
      <w:r>
        <w:rPr>
          <w:rFonts w:hint="eastAsia"/>
          <w:bCs/>
          <w:sz w:val="24"/>
        </w:rPr>
        <w:t>每万份基金已实现收益和节假日最后一日的7日年化收益率，以及节假日后首个开放日各类</w:t>
      </w:r>
      <w:r>
        <w:rPr>
          <w:bCs/>
          <w:sz w:val="24"/>
        </w:rPr>
        <w:t>基金份额的</w:t>
      </w:r>
      <w:r>
        <w:rPr>
          <w:rFonts w:hint="eastAsia"/>
          <w:bCs/>
          <w:sz w:val="24"/>
        </w:rPr>
        <w:t>每万份基金已实现收益和7日年化收益率。经中国证监会同意，可以适当延迟计算或公告。法律法规另有规定的，从其规定。</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（五）</w:t>
      </w:r>
      <w:r>
        <w:rPr>
          <w:rFonts w:hint="eastAsia"/>
          <w:bCs/>
          <w:sz w:val="24"/>
        </w:rPr>
        <w:t>本基金每万份基金已实现收益及</w:t>
      </w:r>
      <w:r>
        <w:rPr>
          <w:bCs/>
          <w:sz w:val="24"/>
        </w:rPr>
        <w:t>7</w:t>
      </w:r>
      <w:r>
        <w:rPr>
          <w:rFonts w:hint="eastAsia"/>
          <w:bCs/>
          <w:sz w:val="24"/>
        </w:rPr>
        <w:t>日年化收益率的计算见基金合同第十八部分。</w:t>
      </w:r>
    </w:p>
    <w:p>
      <w:pPr>
        <w:pStyle w:val="2"/>
        <w:pageBreakBefore/>
        <w:spacing w:before="120" w:beforeLines="50" w:after="120" w:afterLines="50" w:line="360" w:lineRule="auto"/>
        <w:ind w:firstLine="420"/>
        <w:jc w:val="center"/>
        <w:rPr>
          <w:rFonts w:ascii="宋体" w:hAnsi="宋体"/>
          <w:color w:val="000000"/>
          <w:kern w:val="0"/>
          <w:sz w:val="24"/>
        </w:rPr>
      </w:pPr>
      <w:bookmarkStart w:id="94" w:name="_Hlt80958353"/>
      <w:bookmarkEnd w:id="94"/>
      <w:bookmarkStart w:id="95" w:name="_Toc256666802"/>
      <w:bookmarkStart w:id="96" w:name="_Toc482624802"/>
      <w:bookmarkStart w:id="97" w:name="_Toc225576446"/>
      <w:bookmarkStart w:id="98" w:name="_Toc256666922"/>
      <w:bookmarkStart w:id="99" w:name="_Toc230166639"/>
      <w:bookmarkStart w:id="100" w:name="_Toc194043155"/>
      <w:bookmarkStart w:id="101" w:name="_Toc194043650"/>
      <w:bookmarkStart w:id="102" w:name="_Toc225445656"/>
      <w:bookmarkStart w:id="103" w:name="_Toc895"/>
      <w:bookmarkStart w:id="104" w:name="_Toc31494"/>
      <w:r>
        <w:rPr>
          <w:rFonts w:hint="eastAsia" w:ascii="宋体" w:hAnsi="宋体"/>
          <w:color w:val="000000"/>
          <w:kern w:val="0"/>
          <w:sz w:val="24"/>
          <w:szCs w:val="24"/>
        </w:rPr>
        <w:t>第十三部分</w:t>
      </w:r>
      <w:r>
        <w:rPr>
          <w:rFonts w:ascii="宋体" w:hAnsi="宋体"/>
          <w:color w:val="000000"/>
          <w:kern w:val="0"/>
          <w:sz w:val="24"/>
          <w:szCs w:val="24"/>
        </w:rPr>
        <w:t xml:space="preserve">  </w:t>
      </w:r>
      <w:r>
        <w:rPr>
          <w:rFonts w:hint="eastAsia" w:ascii="宋体" w:hAnsi="宋体"/>
          <w:color w:val="000000"/>
          <w:kern w:val="0"/>
          <w:sz w:val="24"/>
          <w:szCs w:val="24"/>
        </w:rPr>
        <w:t>基金的费用与税收</w:t>
      </w:r>
      <w:bookmarkEnd w:id="95"/>
      <w:bookmarkEnd w:id="96"/>
      <w:bookmarkEnd w:id="97"/>
      <w:bookmarkEnd w:id="98"/>
      <w:bookmarkEnd w:id="99"/>
      <w:bookmarkEnd w:id="100"/>
      <w:bookmarkEnd w:id="101"/>
      <w:bookmarkEnd w:id="102"/>
      <w:bookmarkEnd w:id="103"/>
      <w:bookmarkEnd w:id="104"/>
    </w:p>
    <w:p>
      <w:pPr>
        <w:spacing w:line="360" w:lineRule="auto"/>
        <w:ind w:firstLine="480" w:firstLineChars="200"/>
        <w:rPr>
          <w:rFonts w:ascii="宋体" w:hAnsi="宋体"/>
          <w:color w:val="000000"/>
          <w:kern w:val="0"/>
          <w:sz w:val="24"/>
        </w:rPr>
      </w:pPr>
      <w:r>
        <w:rPr>
          <w:rFonts w:hint="eastAsia" w:ascii="宋体" w:hAnsi="宋体"/>
          <w:color w:val="000000"/>
          <w:kern w:val="0"/>
          <w:sz w:val="24"/>
        </w:rPr>
        <w:t>（一）基金费用的种类</w:t>
      </w:r>
    </w:p>
    <w:p>
      <w:pPr>
        <w:spacing w:line="360" w:lineRule="auto"/>
        <w:ind w:firstLine="480" w:firstLineChars="200"/>
        <w:rPr>
          <w:bCs/>
          <w:sz w:val="24"/>
        </w:rPr>
      </w:pPr>
      <w:r>
        <w:rPr>
          <w:bCs/>
          <w:sz w:val="24"/>
        </w:rPr>
        <w:t>1、基金管理人的管理费；</w:t>
      </w:r>
    </w:p>
    <w:p>
      <w:pPr>
        <w:spacing w:line="360" w:lineRule="auto"/>
        <w:ind w:firstLine="480" w:firstLineChars="200"/>
        <w:rPr>
          <w:bCs/>
          <w:sz w:val="24"/>
        </w:rPr>
      </w:pPr>
      <w:r>
        <w:rPr>
          <w:bCs/>
          <w:sz w:val="24"/>
        </w:rPr>
        <w:t>2、基金托管人的托管费；</w:t>
      </w:r>
    </w:p>
    <w:p>
      <w:pPr>
        <w:spacing w:line="360" w:lineRule="auto"/>
        <w:ind w:firstLine="480" w:firstLineChars="200"/>
        <w:rPr>
          <w:bCs/>
          <w:sz w:val="24"/>
        </w:rPr>
      </w:pPr>
      <w:r>
        <w:rPr>
          <w:rFonts w:hint="eastAsia"/>
          <w:bCs/>
          <w:sz w:val="24"/>
        </w:rPr>
        <w:t>3、销售服务费；</w:t>
      </w:r>
    </w:p>
    <w:p>
      <w:pPr>
        <w:spacing w:line="360" w:lineRule="auto"/>
        <w:ind w:firstLine="480" w:firstLineChars="200"/>
        <w:rPr>
          <w:bCs/>
          <w:sz w:val="24"/>
        </w:rPr>
      </w:pPr>
      <w:r>
        <w:rPr>
          <w:bCs/>
          <w:sz w:val="24"/>
        </w:rPr>
        <w:t>4、《基金合同》生效后与基金相关的信息披露费用；</w:t>
      </w:r>
    </w:p>
    <w:p>
      <w:pPr>
        <w:spacing w:line="360" w:lineRule="auto"/>
        <w:ind w:firstLine="480" w:firstLineChars="200"/>
        <w:rPr>
          <w:bCs/>
          <w:sz w:val="24"/>
        </w:rPr>
      </w:pPr>
      <w:r>
        <w:rPr>
          <w:bCs/>
          <w:sz w:val="24"/>
        </w:rPr>
        <w:t>5、《基金合同》生效后与基金相关的会计师费、律师费和诉讼费；</w:t>
      </w:r>
    </w:p>
    <w:p>
      <w:pPr>
        <w:spacing w:line="360" w:lineRule="auto"/>
        <w:ind w:firstLine="480" w:firstLineChars="200"/>
        <w:rPr>
          <w:bCs/>
          <w:sz w:val="24"/>
        </w:rPr>
      </w:pPr>
      <w:r>
        <w:rPr>
          <w:bCs/>
          <w:sz w:val="24"/>
        </w:rPr>
        <w:t>6、基金份额持有人大会费用；</w:t>
      </w:r>
    </w:p>
    <w:p>
      <w:pPr>
        <w:spacing w:line="360" w:lineRule="auto"/>
        <w:ind w:firstLine="480" w:firstLineChars="200"/>
        <w:rPr>
          <w:bCs/>
          <w:sz w:val="24"/>
        </w:rPr>
      </w:pPr>
      <w:r>
        <w:rPr>
          <w:bCs/>
          <w:sz w:val="24"/>
        </w:rPr>
        <w:t>7、基金的证券交易费用；</w:t>
      </w:r>
    </w:p>
    <w:p>
      <w:pPr>
        <w:spacing w:line="360" w:lineRule="auto"/>
        <w:ind w:firstLine="480" w:firstLineChars="200"/>
        <w:rPr>
          <w:bCs/>
          <w:sz w:val="24"/>
        </w:rPr>
      </w:pPr>
      <w:r>
        <w:rPr>
          <w:bCs/>
          <w:sz w:val="24"/>
        </w:rPr>
        <w:t>8、基金的银行汇划费用；</w:t>
      </w:r>
    </w:p>
    <w:p>
      <w:pPr>
        <w:spacing w:line="360" w:lineRule="auto"/>
        <w:ind w:firstLine="480" w:firstLineChars="200"/>
        <w:rPr>
          <w:rFonts w:ascii="宋体" w:hAnsi="宋体"/>
          <w:bCs/>
          <w:sz w:val="24"/>
        </w:rPr>
      </w:pPr>
      <w:r>
        <w:rPr>
          <w:bCs/>
          <w:sz w:val="24"/>
        </w:rPr>
        <w:t>9</w:t>
      </w:r>
      <w:r>
        <w:rPr>
          <w:rFonts w:ascii="宋体" w:hAnsi="宋体"/>
          <w:bCs/>
          <w:sz w:val="24"/>
        </w:rPr>
        <w:t>、</w:t>
      </w:r>
      <w:r>
        <w:rPr>
          <w:rFonts w:hint="eastAsia" w:ascii="宋体" w:hAnsi="宋体"/>
          <w:bCs/>
          <w:sz w:val="24"/>
        </w:rPr>
        <w:t>账户开户费用、账户维护费用；</w:t>
      </w:r>
    </w:p>
    <w:p>
      <w:pPr>
        <w:spacing w:line="360" w:lineRule="auto"/>
        <w:ind w:firstLine="480" w:firstLineChars="200"/>
        <w:rPr>
          <w:rFonts w:ascii="宋体" w:hAnsi="宋体"/>
          <w:bCs/>
          <w:sz w:val="24"/>
        </w:rPr>
      </w:pPr>
      <w:r>
        <w:rPr>
          <w:bCs/>
          <w:sz w:val="24"/>
        </w:rPr>
        <w:t>10、按照国家有关规定和《基金合同》约定，可以在基金财产中列支的其他费用。</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（二）基金费用计提方法、计提标准和支付方式</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1、基金管理人的管理费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本基金的管理费按前一日基金资产净值的</w:t>
      </w:r>
      <w:r>
        <w:rPr>
          <w:rFonts w:ascii="宋体" w:hAnsi="宋体"/>
          <w:color w:val="000000"/>
          <w:kern w:val="0"/>
          <w:sz w:val="24"/>
        </w:rPr>
        <w:t>0.33</w:t>
      </w:r>
      <w:r>
        <w:rPr>
          <w:rFonts w:hint="eastAsia" w:ascii="宋体" w:hAnsi="宋体"/>
          <w:color w:val="000000"/>
          <w:kern w:val="0"/>
          <w:sz w:val="24"/>
        </w:rPr>
        <w:t>%年费率计提。管理费的计算方法如下：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H＝E×</w:t>
      </w:r>
      <w:r>
        <w:rPr>
          <w:rFonts w:ascii="宋体" w:hAnsi="宋体"/>
          <w:color w:val="000000"/>
          <w:kern w:val="0"/>
          <w:sz w:val="24"/>
        </w:rPr>
        <w:t>0.33</w:t>
      </w:r>
      <w:r>
        <w:rPr>
          <w:rFonts w:hint="eastAsia" w:ascii="宋体" w:hAnsi="宋体"/>
          <w:color w:val="000000"/>
          <w:kern w:val="0"/>
          <w:sz w:val="24"/>
        </w:rPr>
        <w:t>%÷当年天数</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H 为每日应计提的基金管理费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E 为前一日基金资产净值</w:t>
      </w:r>
    </w:p>
    <w:p>
      <w:pPr>
        <w:spacing w:line="360" w:lineRule="auto"/>
        <w:ind w:firstLine="480" w:firstLineChars="20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，逐日累计至每月月末，按月支付，由基金管理人向基金托管人发送基金管理费划款指令，基金托管人复核后于次月前5个工作日内从基金财产中一次性支付给基金管理人。若遇法定节假日、公休假等</w:t>
      </w:r>
      <w:r>
        <w:rPr>
          <w:rFonts w:hint="eastAsia"/>
          <w:bCs/>
          <w:sz w:val="24"/>
        </w:rPr>
        <w:t>，</w:t>
      </w:r>
      <w:r>
        <w:rPr>
          <w:bCs/>
          <w:sz w:val="24"/>
        </w:rPr>
        <w:t>支付日期顺延。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2、基金托管人的基金托管费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本基金的托管费按前一日基金资产净值的</w:t>
      </w:r>
      <w:r>
        <w:rPr>
          <w:rFonts w:ascii="宋体" w:hAnsi="宋体"/>
          <w:color w:val="000000"/>
          <w:kern w:val="0"/>
          <w:sz w:val="24"/>
        </w:rPr>
        <w:t>0.1</w:t>
      </w:r>
      <w:r>
        <w:rPr>
          <w:rFonts w:hint="eastAsia" w:ascii="宋体" w:hAnsi="宋体"/>
          <w:color w:val="000000"/>
          <w:kern w:val="0"/>
          <w:sz w:val="24"/>
        </w:rPr>
        <w:t>%年费率计提。托管费的计算方法如下：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H=E×</w:t>
      </w:r>
      <w:r>
        <w:rPr>
          <w:rFonts w:ascii="宋体" w:hAnsi="宋体"/>
          <w:color w:val="000000"/>
          <w:kern w:val="0"/>
          <w:sz w:val="24"/>
        </w:rPr>
        <w:t>0.1</w:t>
      </w:r>
      <w:r>
        <w:rPr>
          <w:rFonts w:hint="eastAsia" w:ascii="宋体" w:hAnsi="宋体"/>
          <w:color w:val="000000"/>
          <w:kern w:val="0"/>
          <w:sz w:val="24"/>
        </w:rPr>
        <w:t>%÷当年天数</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H 为每日应计提的基金托管费</w:t>
      </w:r>
    </w:p>
    <w:p>
      <w:pPr>
        <w:spacing w:line="372" w:lineRule="auto"/>
        <w:ind w:firstLine="480" w:firstLineChars="200"/>
        <w:rPr>
          <w:rFonts w:ascii="宋体" w:hAnsi="宋体"/>
          <w:color w:val="000000"/>
          <w:kern w:val="0"/>
          <w:sz w:val="24"/>
        </w:rPr>
      </w:pPr>
      <w:r>
        <w:rPr>
          <w:rFonts w:hint="eastAsia" w:ascii="宋体" w:hAnsi="宋体"/>
          <w:color w:val="000000"/>
          <w:kern w:val="0"/>
          <w:sz w:val="24"/>
        </w:rPr>
        <w:t>E 为前一日的基金资产净值</w:t>
      </w:r>
    </w:p>
    <w:p>
      <w:pPr>
        <w:spacing w:line="360" w:lineRule="auto"/>
        <w:ind w:firstLine="480" w:firstLineChars="20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，逐日累计至每月月末，按月支付，由基金管理人向基金托管人发送基金托管费划款指令，基金托管人复核后于次月前5个工作日内从基金财产中一次性支取。若遇法定节假日、公休日等</w:t>
      </w:r>
      <w:r>
        <w:rPr>
          <w:rFonts w:hint="eastAsia"/>
          <w:bCs/>
          <w:sz w:val="24"/>
        </w:rPr>
        <w:t>，</w:t>
      </w:r>
      <w:r>
        <w:rPr>
          <w:bCs/>
          <w:sz w:val="24"/>
        </w:rPr>
        <w:t>支付日期顺延。</w:t>
      </w:r>
    </w:p>
    <w:p>
      <w:pPr>
        <w:spacing w:line="360" w:lineRule="auto"/>
        <w:ind w:firstLine="480" w:firstLineChars="200"/>
        <w:rPr>
          <w:bCs/>
          <w:sz w:val="24"/>
        </w:rPr>
      </w:pPr>
      <w:r>
        <w:rPr>
          <w:rFonts w:hint="eastAsia"/>
          <w:bCs/>
          <w:sz w:val="24"/>
        </w:rPr>
        <w:t>3、基金销售服务费</w:t>
      </w:r>
    </w:p>
    <w:p>
      <w:pPr>
        <w:spacing w:line="360" w:lineRule="auto"/>
        <w:ind w:firstLine="480" w:firstLineChars="200"/>
        <w:rPr>
          <w:bCs/>
          <w:sz w:val="24"/>
        </w:rPr>
      </w:pPr>
      <w:r>
        <w:rPr>
          <w:rFonts w:hint="eastAsia"/>
          <w:bCs/>
          <w:sz w:val="24"/>
        </w:rPr>
        <w:t>本基金 A 类基金份额的年销售服务费率为 0.25%；B 类基金份额的年销售服务费率为 0.01%。销售服务费计提的计算公式具体如下：</w:t>
      </w:r>
    </w:p>
    <w:p>
      <w:pPr>
        <w:spacing w:line="360" w:lineRule="auto"/>
        <w:ind w:firstLine="480" w:firstLineChars="200"/>
        <w:rPr>
          <w:bCs/>
          <w:sz w:val="24"/>
        </w:rPr>
      </w:pPr>
      <w:r>
        <w:rPr>
          <w:rFonts w:hint="eastAsia"/>
          <w:bCs/>
          <w:sz w:val="24"/>
        </w:rPr>
        <w:t>H＝E×该类</w:t>
      </w:r>
      <w:r>
        <w:rPr>
          <w:bCs/>
          <w:sz w:val="24"/>
        </w:rPr>
        <w:t>基金份额的</w:t>
      </w:r>
      <w:r>
        <w:rPr>
          <w:rFonts w:hint="eastAsia"/>
          <w:bCs/>
          <w:sz w:val="24"/>
        </w:rPr>
        <w:t>年销售服务费率÷当年天数</w:t>
      </w:r>
    </w:p>
    <w:p>
      <w:pPr>
        <w:spacing w:line="360" w:lineRule="auto"/>
        <w:ind w:firstLine="480" w:firstLineChars="200"/>
        <w:rPr>
          <w:bCs/>
          <w:sz w:val="24"/>
        </w:rPr>
      </w:pPr>
      <w:r>
        <w:rPr>
          <w:rFonts w:hint="eastAsia"/>
          <w:bCs/>
          <w:sz w:val="24"/>
        </w:rPr>
        <w:t>H 为每日该类基金份额应计提的基金销售服务费</w:t>
      </w:r>
    </w:p>
    <w:p>
      <w:pPr>
        <w:spacing w:line="360" w:lineRule="auto"/>
        <w:ind w:firstLine="480" w:firstLineChars="200"/>
        <w:rPr>
          <w:bCs/>
          <w:sz w:val="24"/>
        </w:rPr>
      </w:pPr>
      <w:r>
        <w:rPr>
          <w:rFonts w:hint="eastAsia"/>
          <w:bCs/>
          <w:sz w:val="24"/>
        </w:rPr>
        <w:t>E 为前一日该类基金份额的基金资产净值</w:t>
      </w:r>
    </w:p>
    <w:p>
      <w:pPr>
        <w:spacing w:line="360" w:lineRule="auto"/>
        <w:ind w:firstLine="480" w:firstLineChars="200"/>
        <w:rPr>
          <w:bCs/>
          <w:sz w:val="24"/>
        </w:rPr>
      </w:pPr>
      <w:r>
        <w:rPr>
          <w:rFonts w:hint="eastAsia"/>
          <w:bCs/>
          <w:sz w:val="24"/>
        </w:rPr>
        <w:t>基金销售服务费每日计提，逐日累计至每月月末，按月支付。由基金管理人向基金托管人发送基金销售服务费划款指令，基金托管人复核后于次月前5 个工作日内从基金财产中一次性支付给注册登记机构，由注册登记机构代付给销售机构。若遇法定节假日、休息日或不可抗力致使无法按时支付的，支付日期顺延至最近可支付日支付。</w:t>
      </w:r>
    </w:p>
    <w:p>
      <w:pPr>
        <w:spacing w:line="360" w:lineRule="auto"/>
        <w:ind w:firstLine="424" w:firstLineChars="177"/>
        <w:rPr>
          <w:rFonts w:ascii="宋体" w:hAnsi="宋体"/>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中第4－10项费用”，根据有关法规及相应协议规定，按费用实际支出金额列入当期费用，由基金托管人从基金财产中支付。</w:t>
      </w:r>
    </w:p>
    <w:p>
      <w:pPr>
        <w:spacing w:line="360" w:lineRule="auto"/>
        <w:ind w:firstLine="424" w:firstLineChars="177"/>
        <w:rPr>
          <w:rFonts w:ascii="宋体" w:hAnsi="宋体"/>
          <w:color w:val="000000"/>
          <w:kern w:val="0"/>
          <w:sz w:val="24"/>
        </w:rPr>
      </w:pPr>
      <w:r>
        <w:rPr>
          <w:rFonts w:hint="eastAsia" w:ascii="宋体" w:hAnsi="宋体"/>
          <w:color w:val="000000"/>
          <w:kern w:val="0"/>
          <w:sz w:val="24"/>
        </w:rPr>
        <w:t>（三）不列入基金费用的项目</w:t>
      </w:r>
    </w:p>
    <w:p>
      <w:pPr>
        <w:spacing w:line="360" w:lineRule="auto"/>
        <w:ind w:firstLine="424" w:firstLineChars="177"/>
        <w:rPr>
          <w:rFonts w:ascii="宋体" w:hAnsi="宋体"/>
          <w:bCs/>
          <w:sz w:val="24"/>
        </w:rPr>
      </w:pPr>
      <w:r>
        <w:rPr>
          <w:rFonts w:ascii="宋体" w:hAnsi="宋体"/>
          <w:color w:val="000000"/>
          <w:kern w:val="0"/>
          <w:sz w:val="24"/>
        </w:rPr>
        <w:t>下列费用不</w:t>
      </w:r>
      <w:r>
        <w:rPr>
          <w:rFonts w:ascii="宋体" w:hAnsi="宋体"/>
          <w:bCs/>
          <w:sz w:val="24"/>
        </w:rPr>
        <w:t>列入基金费用：</w:t>
      </w:r>
    </w:p>
    <w:p>
      <w:pPr>
        <w:spacing w:line="360" w:lineRule="auto"/>
        <w:ind w:firstLine="480" w:firstLineChars="200"/>
        <w:rPr>
          <w:bCs/>
          <w:sz w:val="24"/>
        </w:rPr>
      </w:pPr>
      <w:r>
        <w:rPr>
          <w:bCs/>
          <w:sz w:val="24"/>
        </w:rPr>
        <w:t>1、基金管理人和基金托管人因未履行或未完全履行义务导致的费用支出或基金财产的损失；</w:t>
      </w:r>
    </w:p>
    <w:p>
      <w:pPr>
        <w:spacing w:line="360" w:lineRule="auto"/>
        <w:ind w:firstLine="480" w:firstLineChars="200"/>
        <w:rPr>
          <w:bCs/>
          <w:sz w:val="24"/>
        </w:rPr>
      </w:pPr>
      <w:r>
        <w:rPr>
          <w:bCs/>
          <w:sz w:val="24"/>
        </w:rPr>
        <w:t>2、基金管理人和基金托管人处理与基金运作无关的事项发生的费用；</w:t>
      </w:r>
    </w:p>
    <w:p>
      <w:pPr>
        <w:spacing w:line="360" w:lineRule="auto"/>
        <w:ind w:firstLine="480" w:firstLineChars="200"/>
        <w:rPr>
          <w:bCs/>
          <w:sz w:val="24"/>
        </w:rPr>
      </w:pPr>
      <w:r>
        <w:rPr>
          <w:bCs/>
          <w:sz w:val="24"/>
        </w:rPr>
        <w:t>3、《基金合同》生效前的相关费用；</w:t>
      </w:r>
    </w:p>
    <w:p>
      <w:pPr>
        <w:spacing w:line="360" w:lineRule="auto"/>
        <w:ind w:firstLine="480" w:firstLineChars="200"/>
        <w:rPr>
          <w:rFonts w:ascii="宋体" w:hAnsi="宋体"/>
          <w:bCs/>
          <w:sz w:val="24"/>
        </w:rPr>
      </w:pPr>
      <w:r>
        <w:rPr>
          <w:bCs/>
          <w:sz w:val="24"/>
        </w:rPr>
        <w:t>4、其他根据相关法律法规及中国证监会的有关规定不得列入基金费用的项目。</w:t>
      </w:r>
    </w:p>
    <w:p>
      <w:pPr>
        <w:spacing w:line="372" w:lineRule="auto"/>
        <w:ind w:firstLine="480" w:firstLineChars="200"/>
        <w:rPr>
          <w:rFonts w:ascii="宋体" w:hAnsi="宋体"/>
          <w:color w:val="000000"/>
          <w:kern w:val="0"/>
          <w:sz w:val="24"/>
        </w:rPr>
      </w:pPr>
      <w:r>
        <w:rPr>
          <w:rFonts w:hint="eastAsia" w:ascii="宋体" w:hAnsi="宋体"/>
          <w:color w:val="000000"/>
          <w:kern w:val="0"/>
          <w:sz w:val="24"/>
        </w:rPr>
        <w:t>（四）基金税收</w:t>
      </w:r>
    </w:p>
    <w:p>
      <w:pPr>
        <w:spacing w:line="372" w:lineRule="auto"/>
        <w:ind w:firstLine="480" w:firstLineChars="200"/>
        <w:rPr>
          <w:rFonts w:ascii="宋体" w:hAnsi="宋体"/>
          <w:color w:val="000000"/>
          <w:kern w:val="0"/>
          <w:sz w:val="24"/>
        </w:rPr>
      </w:pPr>
      <w:r>
        <w:rPr>
          <w:rFonts w:hint="eastAsia" w:ascii="宋体" w:hAnsi="宋体"/>
          <w:color w:val="000000"/>
          <w:kern w:val="0"/>
          <w:sz w:val="24"/>
        </w:rPr>
        <w:t>本基金运作过程中涉及的各纳税主体，其纳税义务按国家税收法律、法规执行。</w:t>
      </w: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spacing w:line="372" w:lineRule="auto"/>
        <w:ind w:firstLine="480" w:firstLineChars="200"/>
        <w:rPr>
          <w:rFonts w:ascii="宋体" w:hAnsi="宋体"/>
          <w:color w:val="000000"/>
          <w:kern w:val="0"/>
          <w:sz w:val="24"/>
        </w:rPr>
      </w:pPr>
    </w:p>
    <w:p>
      <w:pPr>
        <w:pStyle w:val="2"/>
        <w:pageBreakBefore/>
        <w:spacing w:before="120" w:beforeLines="50" w:after="120" w:afterLines="50" w:line="360" w:lineRule="auto"/>
        <w:ind w:firstLine="420"/>
        <w:jc w:val="center"/>
        <w:rPr>
          <w:rFonts w:ascii="宋体" w:hAnsi="宋体"/>
          <w:color w:val="000000"/>
          <w:kern w:val="0"/>
          <w:sz w:val="24"/>
        </w:rPr>
      </w:pPr>
      <w:bookmarkStart w:id="105" w:name="_Hlt88827255"/>
      <w:bookmarkEnd w:id="105"/>
      <w:bookmarkStart w:id="106" w:name="_Toc256666923"/>
      <w:bookmarkStart w:id="107" w:name="_Toc482624803"/>
      <w:bookmarkStart w:id="108" w:name="_Toc30252"/>
      <w:bookmarkStart w:id="109" w:name="_Toc256666803"/>
      <w:bookmarkStart w:id="110" w:name="_Toc2796"/>
      <w:r>
        <w:rPr>
          <w:rFonts w:hint="eastAsia" w:ascii="宋体" w:hAnsi="宋体"/>
          <w:color w:val="000000"/>
          <w:kern w:val="0"/>
          <w:sz w:val="24"/>
          <w:szCs w:val="24"/>
        </w:rPr>
        <w:t>第十四部分</w:t>
      </w:r>
      <w:r>
        <w:rPr>
          <w:rFonts w:ascii="宋体" w:hAnsi="宋体"/>
          <w:color w:val="000000"/>
          <w:kern w:val="0"/>
          <w:sz w:val="24"/>
          <w:szCs w:val="24"/>
        </w:rPr>
        <w:t xml:space="preserve">  </w:t>
      </w:r>
      <w:r>
        <w:rPr>
          <w:rFonts w:hint="eastAsia" w:ascii="宋体" w:hAnsi="宋体"/>
          <w:color w:val="000000"/>
          <w:kern w:val="0"/>
          <w:sz w:val="24"/>
          <w:szCs w:val="24"/>
        </w:rPr>
        <w:t>基金的会计与审计</w:t>
      </w:r>
      <w:bookmarkEnd w:id="106"/>
      <w:bookmarkEnd w:id="107"/>
      <w:bookmarkEnd w:id="108"/>
      <w:bookmarkEnd w:id="109"/>
      <w:bookmarkEnd w:id="110"/>
    </w:p>
    <w:p>
      <w:pPr>
        <w:spacing w:line="360" w:lineRule="auto"/>
        <w:ind w:firstLine="480" w:firstLineChars="200"/>
        <w:rPr>
          <w:rFonts w:ascii="宋体" w:hAnsi="宋体"/>
          <w:color w:val="000000"/>
          <w:kern w:val="0"/>
          <w:sz w:val="24"/>
        </w:rPr>
      </w:pPr>
      <w:r>
        <w:rPr>
          <w:rFonts w:hint="eastAsia" w:ascii="宋体" w:hAnsi="宋体"/>
          <w:color w:val="000000"/>
          <w:kern w:val="0"/>
          <w:sz w:val="24"/>
        </w:rPr>
        <w:t>（一）基金会计政策</w:t>
      </w:r>
    </w:p>
    <w:p>
      <w:pPr>
        <w:spacing w:line="360" w:lineRule="auto"/>
        <w:ind w:firstLine="480" w:firstLineChars="200"/>
        <w:rPr>
          <w:rFonts w:ascii="宋体" w:hAnsi="宋体"/>
          <w:bCs/>
          <w:sz w:val="24"/>
        </w:rPr>
      </w:pPr>
      <w:r>
        <w:rPr>
          <w:rFonts w:ascii="宋体" w:hAnsi="宋体"/>
          <w:bCs/>
          <w:sz w:val="24"/>
        </w:rPr>
        <w:t>1、基金管理人为本基金的基金会计责任方；</w:t>
      </w:r>
    </w:p>
    <w:p>
      <w:pPr>
        <w:spacing w:line="360" w:lineRule="auto"/>
        <w:ind w:firstLine="480" w:firstLineChars="20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hint="eastAsia" w:ascii="宋体" w:hAnsi="宋体"/>
          <w:bCs/>
          <w:sz w:val="24"/>
        </w:rPr>
        <w:t>披露</w:t>
      </w:r>
      <w:r>
        <w:rPr>
          <w:rFonts w:ascii="宋体" w:hAnsi="宋体"/>
          <w:bCs/>
          <w:sz w:val="24"/>
        </w:rPr>
        <w:t>；</w:t>
      </w:r>
    </w:p>
    <w:p>
      <w:pPr>
        <w:spacing w:line="360" w:lineRule="auto"/>
        <w:ind w:firstLine="480" w:firstLineChars="200"/>
        <w:rPr>
          <w:rFonts w:ascii="宋体" w:hAnsi="宋体"/>
          <w:bCs/>
          <w:sz w:val="24"/>
        </w:rPr>
      </w:pPr>
      <w:r>
        <w:rPr>
          <w:rFonts w:ascii="宋体" w:hAnsi="宋体"/>
          <w:bCs/>
          <w:sz w:val="24"/>
        </w:rPr>
        <w:t>3、基金核算以人民币为记账本位币，以人民币元为记账单位；</w:t>
      </w:r>
    </w:p>
    <w:p>
      <w:pPr>
        <w:spacing w:line="360" w:lineRule="auto"/>
        <w:ind w:firstLine="480" w:firstLineChars="200"/>
        <w:rPr>
          <w:rFonts w:ascii="宋体" w:hAnsi="宋体"/>
          <w:bCs/>
          <w:sz w:val="24"/>
        </w:rPr>
      </w:pPr>
      <w:r>
        <w:rPr>
          <w:rFonts w:ascii="宋体" w:hAnsi="宋体"/>
          <w:bCs/>
          <w:sz w:val="24"/>
        </w:rPr>
        <w:t>4、会计制度执行国家有关会计制度；</w:t>
      </w:r>
    </w:p>
    <w:p>
      <w:pPr>
        <w:spacing w:line="360" w:lineRule="auto"/>
        <w:ind w:firstLine="480" w:firstLineChars="200"/>
        <w:rPr>
          <w:rFonts w:ascii="宋体" w:hAnsi="宋体"/>
          <w:bCs/>
          <w:sz w:val="24"/>
        </w:rPr>
      </w:pPr>
      <w:r>
        <w:rPr>
          <w:rFonts w:ascii="宋体" w:hAnsi="宋体"/>
          <w:bCs/>
          <w:sz w:val="24"/>
        </w:rPr>
        <w:t>5、本基金独立建账、独立核算；</w:t>
      </w:r>
    </w:p>
    <w:p>
      <w:pPr>
        <w:spacing w:line="360" w:lineRule="auto"/>
        <w:ind w:firstLine="480" w:firstLineChars="20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pPr>
        <w:spacing w:line="360" w:lineRule="auto"/>
        <w:ind w:firstLine="480" w:firstLineChars="200"/>
        <w:rPr>
          <w:bCs/>
          <w:sz w:val="24"/>
        </w:rPr>
      </w:pPr>
      <w:r>
        <w:rPr>
          <w:rFonts w:ascii="宋体" w:hAnsi="宋体"/>
          <w:bCs/>
          <w:sz w:val="24"/>
        </w:rPr>
        <w:t>7、基金托管人每月与基金管理人就基金的会计核算、报表编制等进行核对并以</w:t>
      </w:r>
      <w:r>
        <w:rPr>
          <w:rFonts w:hint="eastAsia" w:ascii="宋体" w:hAnsi="宋体"/>
          <w:bCs/>
          <w:sz w:val="24"/>
        </w:rPr>
        <w:t>书面</w:t>
      </w:r>
      <w:r>
        <w:rPr>
          <w:rFonts w:hint="eastAsia"/>
          <w:bCs/>
          <w:sz w:val="24"/>
        </w:rPr>
        <w:t>方式确认</w:t>
      </w:r>
      <w:r>
        <w:rPr>
          <w:bCs/>
          <w:sz w:val="24"/>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（二）基金的年度审计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1、基金管理人聘请与基金管理人、基金托管人相互独立的、具有证券从业资格的会计师事务所及其注册会计师对本基金的年度财务报表进行审计；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2、会计师事务所更换经办注册会计师，应事先征得基金管理人同意；</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3、基金管理人认为有充足理由更换会计师事务所，须通报基金托管人。更换会计师事务所需在2个工作日内在指定媒介公告并报中国证监会备案。</w:t>
      </w: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p>
      <w:pPr>
        <w:pStyle w:val="2"/>
        <w:spacing w:line="360" w:lineRule="auto"/>
        <w:jc w:val="center"/>
        <w:rPr>
          <w:rFonts w:ascii="宋体" w:hAnsi="宋体"/>
          <w:color w:val="000000"/>
          <w:kern w:val="0"/>
          <w:sz w:val="24"/>
          <w:szCs w:val="24"/>
        </w:rPr>
      </w:pPr>
      <w:bookmarkStart w:id="111" w:name="_Toc256666804"/>
      <w:bookmarkStart w:id="112" w:name="_Toc482624804"/>
      <w:bookmarkStart w:id="113" w:name="_Toc256666924"/>
      <w:bookmarkStart w:id="114" w:name="_Toc22438"/>
      <w:bookmarkStart w:id="115" w:name="_Toc12523"/>
      <w:r>
        <w:rPr>
          <w:rFonts w:hint="eastAsia" w:ascii="宋体" w:hAnsi="宋体"/>
          <w:color w:val="000000"/>
          <w:kern w:val="0"/>
          <w:sz w:val="24"/>
          <w:szCs w:val="24"/>
        </w:rPr>
        <w:t>第十五部分  基金的信息披露</w:t>
      </w:r>
      <w:bookmarkEnd w:id="111"/>
      <w:bookmarkEnd w:id="112"/>
      <w:bookmarkEnd w:id="113"/>
      <w:bookmarkEnd w:id="114"/>
      <w:bookmarkEnd w:id="115"/>
    </w:p>
    <w:p>
      <w:pPr>
        <w:spacing w:line="360" w:lineRule="auto"/>
        <w:ind w:firstLine="480" w:firstLineChars="200"/>
        <w:rPr>
          <w:bCs/>
          <w:sz w:val="24"/>
        </w:rPr>
      </w:pPr>
      <w:bookmarkStart w:id="116" w:name="_Hlt88828869"/>
      <w:bookmarkEnd w:id="116"/>
      <w:r>
        <w:rPr>
          <w:rFonts w:hint="eastAsia"/>
          <w:bCs/>
          <w:sz w:val="24"/>
        </w:rPr>
        <w:t>（一）</w:t>
      </w:r>
      <w:r>
        <w:rPr>
          <w:bCs/>
          <w:sz w:val="24"/>
        </w:rPr>
        <w:t>本基金的信息披露应符合《基金法》、《运作办法》、《信息披露办法》、《基金合同》及其他有关规定。</w:t>
      </w:r>
    </w:p>
    <w:p>
      <w:pPr>
        <w:spacing w:line="360" w:lineRule="auto"/>
        <w:ind w:firstLine="480" w:firstLineChars="200"/>
        <w:rPr>
          <w:bCs/>
          <w:sz w:val="24"/>
        </w:rPr>
      </w:pPr>
      <w:r>
        <w:rPr>
          <w:rFonts w:hint="eastAsia"/>
          <w:bCs/>
          <w:sz w:val="24"/>
        </w:rPr>
        <w:t>（二）</w:t>
      </w:r>
      <w:r>
        <w:rPr>
          <w:bCs/>
          <w:sz w:val="24"/>
        </w:rPr>
        <w:t>信息披露义务人</w:t>
      </w:r>
    </w:p>
    <w:p>
      <w:pPr>
        <w:spacing w:line="360" w:lineRule="auto"/>
        <w:ind w:firstLine="480" w:firstLineChars="200"/>
        <w:rPr>
          <w:bCs/>
          <w:sz w:val="24"/>
        </w:rPr>
      </w:pPr>
      <w:r>
        <w:rPr>
          <w:bCs/>
          <w:sz w:val="24"/>
        </w:rPr>
        <w:t>本基金信息披露义务人包括基金管理人、基金托管人、召集基金份额持有人大会的基金份额持有人等法律法规和中国证监会规定的自然人、法人和其他组织。</w:t>
      </w:r>
    </w:p>
    <w:p>
      <w:pPr>
        <w:spacing w:line="360" w:lineRule="auto"/>
        <w:ind w:firstLine="480" w:firstLineChars="200"/>
        <w:rPr>
          <w:bCs/>
          <w:sz w:val="24"/>
        </w:rPr>
      </w:pPr>
      <w:r>
        <w:rPr>
          <w:bCs/>
          <w:sz w:val="24"/>
        </w:rPr>
        <w:t>本基金信息披露义务人按照法律法规和中国证监会的规定披露基金信息，并保证所披露信息的真实性、准确性和完整性。</w:t>
      </w:r>
    </w:p>
    <w:p>
      <w:pPr>
        <w:spacing w:line="360" w:lineRule="auto"/>
        <w:ind w:firstLine="480" w:firstLineChars="20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pPr>
        <w:spacing w:line="360" w:lineRule="auto"/>
        <w:ind w:firstLine="480" w:firstLineChars="200"/>
        <w:rPr>
          <w:bCs/>
          <w:sz w:val="24"/>
        </w:rPr>
      </w:pPr>
      <w:r>
        <w:rPr>
          <w:rFonts w:hint="eastAsia"/>
          <w:bCs/>
          <w:sz w:val="24"/>
        </w:rPr>
        <w:t>（三）</w:t>
      </w:r>
      <w:r>
        <w:rPr>
          <w:bCs/>
          <w:sz w:val="24"/>
        </w:rPr>
        <w:t>本基金信息披露义务人承诺公开披露的基金信息，不得有下列行为：</w:t>
      </w:r>
    </w:p>
    <w:p>
      <w:pPr>
        <w:spacing w:line="360" w:lineRule="auto"/>
        <w:ind w:firstLine="480" w:firstLineChars="200"/>
        <w:rPr>
          <w:bCs/>
          <w:sz w:val="24"/>
        </w:rPr>
      </w:pPr>
      <w:r>
        <w:rPr>
          <w:bCs/>
          <w:sz w:val="24"/>
        </w:rPr>
        <w:t>1、虚假记载、误导性陈述或者重大遗漏；</w:t>
      </w:r>
    </w:p>
    <w:p>
      <w:pPr>
        <w:spacing w:line="360" w:lineRule="auto"/>
        <w:ind w:firstLine="480" w:firstLineChars="200"/>
        <w:rPr>
          <w:bCs/>
          <w:sz w:val="24"/>
        </w:rPr>
      </w:pPr>
      <w:r>
        <w:rPr>
          <w:bCs/>
          <w:sz w:val="24"/>
        </w:rPr>
        <w:t>2、对证券投资业绩进行预测；</w:t>
      </w:r>
    </w:p>
    <w:p>
      <w:pPr>
        <w:spacing w:line="360" w:lineRule="auto"/>
        <w:ind w:firstLine="480" w:firstLineChars="200"/>
        <w:rPr>
          <w:bCs/>
          <w:sz w:val="24"/>
        </w:rPr>
      </w:pPr>
      <w:r>
        <w:rPr>
          <w:bCs/>
          <w:sz w:val="24"/>
        </w:rPr>
        <w:t>3、违规承诺收益或者承担损失；</w:t>
      </w:r>
    </w:p>
    <w:p>
      <w:pPr>
        <w:spacing w:line="360" w:lineRule="auto"/>
        <w:ind w:firstLine="480" w:firstLineChars="200"/>
        <w:rPr>
          <w:bCs/>
          <w:sz w:val="24"/>
        </w:rPr>
      </w:pPr>
      <w:r>
        <w:rPr>
          <w:bCs/>
          <w:sz w:val="24"/>
        </w:rPr>
        <w:t>4、诋毁其他基金管理人、基金托管人或者基金销售机构；</w:t>
      </w:r>
    </w:p>
    <w:p>
      <w:pPr>
        <w:spacing w:line="360" w:lineRule="auto"/>
        <w:ind w:firstLine="480" w:firstLineChars="200"/>
        <w:rPr>
          <w:bCs/>
          <w:sz w:val="24"/>
        </w:rPr>
      </w:pPr>
      <w:r>
        <w:rPr>
          <w:bCs/>
          <w:sz w:val="24"/>
        </w:rPr>
        <w:t>5、登载任何自然人、法人或者其他组织的祝贺性、恭维性或推荐性的文字；</w:t>
      </w:r>
    </w:p>
    <w:p>
      <w:pPr>
        <w:spacing w:line="360" w:lineRule="auto"/>
        <w:ind w:firstLine="480" w:firstLineChars="200"/>
        <w:rPr>
          <w:bCs/>
          <w:sz w:val="24"/>
        </w:rPr>
      </w:pPr>
      <w:r>
        <w:rPr>
          <w:bCs/>
          <w:sz w:val="24"/>
        </w:rPr>
        <w:t>6、中国证监会禁止的其他行为。</w:t>
      </w:r>
    </w:p>
    <w:p>
      <w:pPr>
        <w:spacing w:line="360" w:lineRule="auto"/>
        <w:ind w:firstLine="480" w:firstLineChars="200"/>
        <w:rPr>
          <w:bCs/>
          <w:sz w:val="24"/>
        </w:rPr>
      </w:pPr>
      <w:r>
        <w:rPr>
          <w:rFonts w:hint="eastAsia"/>
          <w:bCs/>
          <w:sz w:val="24"/>
        </w:rPr>
        <w:t>（四）</w:t>
      </w:r>
      <w:r>
        <w:rPr>
          <w:bCs/>
          <w:sz w:val="24"/>
        </w:rPr>
        <w:t>本基金公开披露的信息应采用中文文本。如同时采用外文文本的，基金信息披露义务人应保证两种文本的内容一致。两种文本发生歧义的，以中文文本为准。</w:t>
      </w:r>
    </w:p>
    <w:p>
      <w:pPr>
        <w:spacing w:line="360" w:lineRule="auto"/>
        <w:ind w:firstLine="480" w:firstLineChars="200"/>
        <w:rPr>
          <w:bCs/>
          <w:sz w:val="24"/>
        </w:rPr>
      </w:pPr>
      <w:r>
        <w:rPr>
          <w:bCs/>
          <w:sz w:val="24"/>
        </w:rPr>
        <w:t>本基金公开披露的信息采用阿拉伯数字；除特别说明外，货币单位为人民币元。</w:t>
      </w:r>
    </w:p>
    <w:p>
      <w:pPr>
        <w:spacing w:line="360" w:lineRule="auto"/>
        <w:ind w:firstLine="480" w:firstLineChars="200"/>
        <w:rPr>
          <w:bCs/>
          <w:sz w:val="24"/>
        </w:rPr>
      </w:pPr>
      <w:r>
        <w:rPr>
          <w:rFonts w:hint="eastAsia"/>
          <w:bCs/>
          <w:sz w:val="24"/>
        </w:rPr>
        <w:t>（五）</w:t>
      </w:r>
      <w:r>
        <w:rPr>
          <w:bCs/>
          <w:sz w:val="24"/>
        </w:rPr>
        <w:t>公开披露的基金信息</w:t>
      </w:r>
    </w:p>
    <w:p>
      <w:pPr>
        <w:spacing w:line="360" w:lineRule="auto"/>
        <w:ind w:firstLine="480" w:firstLineChars="200"/>
        <w:rPr>
          <w:rFonts w:ascii="宋体" w:hAnsi="宋体"/>
          <w:sz w:val="24"/>
        </w:rPr>
      </w:pPr>
      <w:r>
        <w:rPr>
          <w:bCs/>
          <w:sz w:val="24"/>
        </w:rPr>
        <w:t>公开披露的基金信息包括：</w:t>
      </w:r>
    </w:p>
    <w:p>
      <w:pPr>
        <w:spacing w:line="360" w:lineRule="auto"/>
        <w:ind w:firstLine="480" w:firstLineChars="200"/>
        <w:rPr>
          <w:rFonts w:ascii="宋体" w:hAnsi="宋体"/>
          <w:sz w:val="24"/>
        </w:rPr>
      </w:pPr>
      <w:r>
        <w:rPr>
          <w:rFonts w:hint="eastAsia" w:ascii="宋体" w:hAnsi="宋体"/>
          <w:sz w:val="24"/>
        </w:rPr>
        <w:t>1、基金招募说明书、基金合同、基金托管协议</w:t>
      </w:r>
    </w:p>
    <w:p>
      <w:pPr>
        <w:spacing w:line="360" w:lineRule="auto"/>
        <w:ind w:firstLine="480" w:firstLineChars="200"/>
        <w:rPr>
          <w:rFonts w:ascii="宋体" w:hAnsi="宋体"/>
          <w:bCs/>
          <w:sz w:val="24"/>
        </w:rPr>
      </w:pPr>
      <w:r>
        <w:rPr>
          <w:rFonts w:hint="eastAsia" w:ascii="宋体" w:hAnsi="宋体"/>
          <w:bCs/>
          <w:sz w:val="24"/>
        </w:rPr>
        <w:t>（1）《</w:t>
      </w:r>
      <w:r>
        <w:rPr>
          <w:rFonts w:ascii="宋体" w:hAnsi="宋体"/>
          <w:bCs/>
          <w:sz w:val="24"/>
        </w:rPr>
        <w:t>基金合同</w:t>
      </w:r>
      <w:r>
        <w:rPr>
          <w:rFonts w:hint="eastAsia" w:ascii="宋体" w:hAnsi="宋体"/>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hint="eastAsia" w:ascii="宋体" w:hAnsi="宋体"/>
          <w:bCs/>
          <w:sz w:val="24"/>
        </w:rPr>
        <w:t>人</w:t>
      </w:r>
      <w:r>
        <w:rPr>
          <w:rFonts w:ascii="宋体" w:hAnsi="宋体"/>
          <w:bCs/>
          <w:sz w:val="24"/>
        </w:rPr>
        <w:t>重大利益的事项的法律文件</w:t>
      </w:r>
      <w:r>
        <w:rPr>
          <w:rFonts w:hint="eastAsia" w:ascii="宋体" w:hAnsi="宋体"/>
          <w:bCs/>
          <w:sz w:val="24"/>
        </w:rPr>
        <w:t>。</w:t>
      </w:r>
    </w:p>
    <w:p>
      <w:pPr>
        <w:spacing w:line="360" w:lineRule="auto"/>
        <w:ind w:firstLine="480" w:firstLineChars="200"/>
        <w:rPr>
          <w:rFonts w:ascii="宋体" w:hAnsi="宋体"/>
          <w:bCs/>
          <w:sz w:val="24"/>
        </w:rPr>
      </w:pPr>
      <w:r>
        <w:rPr>
          <w:rFonts w:hint="eastAsia" w:ascii="宋体" w:hAnsi="宋体"/>
          <w:bCs/>
          <w:sz w:val="24"/>
        </w:rPr>
        <w:t>（2）</w:t>
      </w:r>
      <w:r>
        <w:rPr>
          <w:rFonts w:ascii="宋体" w:hAnsi="宋体"/>
          <w:bCs/>
          <w:sz w:val="24"/>
        </w:rPr>
        <w:t>基金招募说明书应当最大限度地披露影响基金投资</w:t>
      </w:r>
      <w:r>
        <w:rPr>
          <w:rFonts w:hint="eastAsia" w:ascii="宋体" w:hAnsi="宋体"/>
          <w:bCs/>
          <w:sz w:val="24"/>
        </w:rPr>
        <w:t>人</w:t>
      </w:r>
      <w:r>
        <w:rPr>
          <w:rFonts w:ascii="宋体" w:hAnsi="宋体"/>
          <w:bCs/>
          <w:sz w:val="24"/>
        </w:rPr>
        <w:t>决策的全部事项，说明基金认购、申购和赎回安排、基金投资、基金产品特性、风险揭示、信息披露及基金份额持有人服务等内容。</w:t>
      </w:r>
      <w:r>
        <w:rPr>
          <w:rFonts w:hint="eastAsia" w:ascii="宋体" w:hAnsi="宋体"/>
          <w:bCs/>
          <w:sz w:val="24"/>
        </w:rPr>
        <w:t>《</w:t>
      </w:r>
      <w:r>
        <w:rPr>
          <w:rFonts w:ascii="宋体" w:hAnsi="宋体"/>
          <w:bCs/>
          <w:sz w:val="24"/>
        </w:rPr>
        <w:t>基金合同</w:t>
      </w:r>
      <w:r>
        <w:rPr>
          <w:rFonts w:hint="eastAsia" w:ascii="宋体" w:hAnsi="宋体"/>
          <w:bCs/>
          <w:sz w:val="24"/>
        </w:rPr>
        <w:t>》</w:t>
      </w:r>
      <w:r>
        <w:rPr>
          <w:rFonts w:ascii="宋体" w:hAnsi="宋体"/>
          <w:bCs/>
          <w:sz w:val="24"/>
        </w:rPr>
        <w:t>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r>
        <w:rPr>
          <w:rFonts w:hint="eastAsia" w:ascii="宋体" w:hAnsi="宋体"/>
          <w:bCs/>
          <w:sz w:val="24"/>
        </w:rPr>
        <w:t>。</w:t>
      </w:r>
    </w:p>
    <w:p>
      <w:pPr>
        <w:spacing w:line="360" w:lineRule="auto"/>
        <w:ind w:firstLine="480" w:firstLineChars="200"/>
        <w:rPr>
          <w:bCs/>
          <w:sz w:val="24"/>
        </w:rPr>
      </w:pPr>
      <w:r>
        <w:rPr>
          <w:rFonts w:hint="eastAsia" w:ascii="宋体" w:hAnsi="宋体"/>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pPr>
        <w:spacing w:line="360" w:lineRule="auto"/>
        <w:ind w:firstLine="480" w:firstLineChars="200"/>
        <w:rPr>
          <w:rFonts w:ascii="宋体" w:hAnsi="宋体"/>
          <w:sz w:val="24"/>
        </w:rPr>
      </w:pPr>
      <w:r>
        <w:rPr>
          <w:rFonts w:hint="eastAsia" w:ascii="宋体" w:hAnsi="宋体"/>
          <w:sz w:val="24"/>
        </w:rPr>
        <w:t>基金募集申请经中国证监会注册后，基金管理人在基金份额发售的3日前，将招募说明书、《基金合同》摘要登载在指定媒介上；基金管理人、基金托管人应当将《基金合同》、基金托管协议登载在各自公司网站上。</w:t>
      </w:r>
    </w:p>
    <w:p>
      <w:pPr>
        <w:spacing w:line="360" w:lineRule="auto"/>
        <w:ind w:firstLine="480" w:firstLineChars="200"/>
        <w:rPr>
          <w:rFonts w:ascii="宋体" w:hAnsi="宋体"/>
          <w:sz w:val="24"/>
        </w:rPr>
      </w:pPr>
      <w:r>
        <w:rPr>
          <w:rFonts w:hint="eastAsia" w:ascii="宋体" w:hAnsi="宋体"/>
          <w:sz w:val="24"/>
        </w:rPr>
        <w:t>2、基金份额发售公告</w:t>
      </w:r>
    </w:p>
    <w:p>
      <w:pPr>
        <w:spacing w:line="360" w:lineRule="auto"/>
        <w:ind w:firstLine="480" w:firstLineChars="200"/>
        <w:rPr>
          <w:rFonts w:ascii="宋体" w:hAnsi="宋体"/>
          <w:sz w:val="24"/>
        </w:rPr>
      </w:pPr>
      <w:r>
        <w:rPr>
          <w:rFonts w:hint="eastAsia" w:ascii="宋体" w:hAnsi="宋体"/>
          <w:sz w:val="24"/>
        </w:rPr>
        <w:t>基金管理人应当就基金份额发售的具体事宜编制基金份额发售公告，并在披露招募说明书的当日登载于指定媒介上。</w:t>
      </w:r>
    </w:p>
    <w:p>
      <w:pPr>
        <w:spacing w:line="360" w:lineRule="auto"/>
        <w:ind w:firstLine="480" w:firstLineChars="200"/>
        <w:rPr>
          <w:rFonts w:ascii="宋体" w:hAnsi="宋体"/>
          <w:sz w:val="24"/>
        </w:rPr>
      </w:pPr>
      <w:r>
        <w:rPr>
          <w:rFonts w:hint="eastAsia" w:ascii="宋体" w:hAnsi="宋体"/>
          <w:sz w:val="24"/>
        </w:rPr>
        <w:t>3、基金合同生效公告</w:t>
      </w:r>
    </w:p>
    <w:p>
      <w:pPr>
        <w:spacing w:line="360" w:lineRule="auto"/>
        <w:ind w:firstLine="480" w:firstLineChars="200"/>
        <w:rPr>
          <w:rFonts w:ascii="宋体" w:hAnsi="宋体"/>
          <w:sz w:val="24"/>
        </w:rPr>
      </w:pPr>
      <w:r>
        <w:rPr>
          <w:rFonts w:hint="eastAsia" w:ascii="宋体" w:hAnsi="宋体"/>
          <w:sz w:val="24"/>
        </w:rPr>
        <w:t>基金管理人应当在收到中国证监会确认文件的次日在指定媒介上登载基金合同生效公告。</w:t>
      </w:r>
    </w:p>
    <w:p>
      <w:pPr>
        <w:spacing w:line="360" w:lineRule="auto"/>
        <w:ind w:firstLine="424" w:firstLineChars="177"/>
        <w:rPr>
          <w:rFonts w:ascii="宋体" w:hAnsi="宋体"/>
          <w:sz w:val="24"/>
        </w:rPr>
      </w:pPr>
      <w:r>
        <w:rPr>
          <w:rFonts w:hint="eastAsia" w:ascii="宋体" w:hAnsi="宋体"/>
          <w:sz w:val="24"/>
        </w:rPr>
        <w:t>4、基金资产净值、各类基金份额的每万份基金已实现收益和7日年化收益率公告</w:t>
      </w:r>
    </w:p>
    <w:p>
      <w:pPr>
        <w:spacing w:line="360" w:lineRule="auto"/>
        <w:ind w:firstLine="424" w:firstLineChars="177"/>
        <w:rPr>
          <w:bCs/>
          <w:sz w:val="24"/>
        </w:rPr>
      </w:pPr>
      <w:r>
        <w:rPr>
          <w:rFonts w:hint="eastAsia" w:ascii="宋体" w:hAnsi="宋体"/>
          <w:sz w:val="24"/>
        </w:rPr>
        <w:t>（1）</w:t>
      </w:r>
      <w:r>
        <w:rPr>
          <w:rFonts w:hint="eastAsia"/>
          <w:bCs/>
          <w:sz w:val="24"/>
        </w:rPr>
        <w:t>本基金的基金合同生效后，在开始办理基金份额申购或者赎回前，基金管理人将至少每周公告一次基金资产净值、各类基金份额的每万份基金已实现收益和7日年化收益率；</w:t>
      </w:r>
    </w:p>
    <w:p>
      <w:pPr>
        <w:spacing w:line="360" w:lineRule="auto"/>
        <w:ind w:firstLine="424" w:firstLineChars="177"/>
        <w:rPr>
          <w:bCs/>
          <w:sz w:val="24"/>
        </w:rPr>
      </w:pPr>
      <w:r>
        <w:rPr>
          <w:rFonts w:hint="eastAsia"/>
          <w:bCs/>
          <w:sz w:val="24"/>
        </w:rPr>
        <w:t>每万份基金已实现收益和</w:t>
      </w:r>
      <w:r>
        <w:rPr>
          <w:bCs/>
          <w:sz w:val="24"/>
        </w:rPr>
        <w:t>7</w:t>
      </w:r>
      <w:r>
        <w:rPr>
          <w:rFonts w:hint="eastAsia"/>
          <w:bCs/>
          <w:sz w:val="24"/>
        </w:rPr>
        <w:t>日年化收益率的计算方法如下：</w:t>
      </w:r>
    </w:p>
    <w:p>
      <w:pPr>
        <w:spacing w:line="360" w:lineRule="auto"/>
        <w:ind w:firstLine="424" w:firstLineChars="177"/>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pPr>
        <w:spacing w:line="360" w:lineRule="auto"/>
        <w:ind w:firstLine="424" w:firstLineChars="177"/>
        <w:rPr>
          <w:bCs/>
          <w:sz w:val="24"/>
        </w:rPr>
      </w:pPr>
      <w:r>
        <w:rPr>
          <w:bCs/>
          <w:sz w:val="24"/>
        </w:rPr>
        <w:t>7</w:t>
      </w:r>
      <w:r>
        <w:rPr>
          <w:rFonts w:hint="eastAsia"/>
          <w:bCs/>
          <w:sz w:val="24"/>
        </w:rPr>
        <w:t>日年化收益率的计算方法</w:t>
      </w:r>
      <w:r>
        <w:rPr>
          <w:bCs/>
          <w:sz w:val="24"/>
        </w:rPr>
        <w:t>:</w:t>
      </w:r>
    </w:p>
    <w:p>
      <w:pPr>
        <w:spacing w:line="360" w:lineRule="auto"/>
        <w:ind w:firstLine="424" w:firstLineChars="177"/>
        <w:rPr>
          <w:rFonts w:ascii="宋体" w:hAnsi="宋体"/>
          <w:sz w:val="24"/>
        </w:rPr>
      </w:pPr>
      <w:r>
        <w:rPr>
          <w:bCs/>
          <w:sz w:val="24"/>
        </w:rPr>
        <w:t>7</w:t>
      </w:r>
      <w:r>
        <w:rPr>
          <w:rFonts w:hint="eastAsia"/>
          <w:bCs/>
          <w:sz w:val="24"/>
        </w:rPr>
        <w:t>日年化收益率以最近七个自然日的每万份基金已实现收益按每日复利折算出的年收益率。计算公式为：</w:t>
      </w:r>
    </w:p>
    <w:p>
      <w:pPr>
        <w:spacing w:line="360" w:lineRule="auto"/>
        <w:ind w:firstLine="424" w:firstLineChars="177"/>
        <w:jc w:val="center"/>
        <w:rPr>
          <w:rFonts w:ascii="宋体" w:hAnsi="宋体"/>
          <w:sz w:val="24"/>
        </w:rPr>
      </w:pPr>
      <w:r>
        <w:rPr>
          <w:rFonts w:ascii="宋体" w:hAnsi="宋体"/>
          <w:sz w:val="24"/>
        </w:rPr>
        <w:drawing>
          <wp:inline distT="0" distB="0" distL="0" distR="0">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pPr>
        <w:spacing w:line="360" w:lineRule="auto"/>
        <w:ind w:firstLine="424" w:firstLineChars="177"/>
        <w:rPr>
          <w:rFonts w:ascii="宋体" w:hAnsi="宋体"/>
          <w:sz w:val="24"/>
        </w:rPr>
      </w:pPr>
      <w:r>
        <w:rPr>
          <w:rFonts w:hint="eastAsia" w:ascii="宋体" w:hAnsi="宋体"/>
          <w:sz w:val="24"/>
        </w:rPr>
        <w:t>其中，</w:t>
      </w:r>
      <w:r>
        <w:rPr>
          <w:rFonts w:ascii="宋体" w:hAnsi="宋体"/>
          <w:sz w:val="24"/>
        </w:rPr>
        <w:t>Ri</w:t>
      </w:r>
      <w:r>
        <w:rPr>
          <w:rFonts w:hint="eastAsia" w:ascii="宋体" w:hAnsi="宋体"/>
          <w:sz w:val="24"/>
        </w:rPr>
        <w:t>为最近第</w:t>
      </w:r>
      <w:r>
        <w:rPr>
          <w:rFonts w:ascii="宋体" w:hAnsi="宋体"/>
          <w:sz w:val="24"/>
        </w:rPr>
        <w:t>i</w:t>
      </w:r>
      <w:r>
        <w:rPr>
          <w:rFonts w:hint="eastAsia" w:ascii="宋体" w:hAnsi="宋体"/>
          <w:sz w:val="24"/>
        </w:rPr>
        <w:t>个自然日</w:t>
      </w:r>
      <w:r>
        <w:rPr>
          <w:rFonts w:ascii="宋体" w:hAnsi="宋体"/>
          <w:sz w:val="24"/>
        </w:rPr>
        <w:t>(</w:t>
      </w:r>
      <w:r>
        <w:rPr>
          <w:rFonts w:hint="eastAsia" w:ascii="宋体" w:hAnsi="宋体"/>
          <w:sz w:val="24"/>
        </w:rPr>
        <w:t>包括计算当日</w:t>
      </w:r>
      <w:r>
        <w:rPr>
          <w:rFonts w:ascii="宋体" w:hAnsi="宋体"/>
          <w:sz w:val="24"/>
        </w:rPr>
        <w:t>)</w:t>
      </w:r>
      <w:r>
        <w:rPr>
          <w:rFonts w:hint="eastAsia" w:ascii="宋体" w:hAnsi="宋体"/>
          <w:sz w:val="24"/>
        </w:rPr>
        <w:t>的每万份基金已实现收益。</w:t>
      </w:r>
    </w:p>
    <w:p>
      <w:pPr>
        <w:spacing w:line="360" w:lineRule="auto"/>
        <w:ind w:firstLine="424" w:firstLineChars="177"/>
        <w:rPr>
          <w:rFonts w:ascii="宋体" w:hAnsi="宋体"/>
          <w:sz w:val="24"/>
        </w:rPr>
      </w:pPr>
      <w:r>
        <w:rPr>
          <w:rFonts w:hint="eastAsia" w:ascii="宋体" w:hAnsi="宋体"/>
          <w:sz w:val="24"/>
        </w:rPr>
        <w:t>每万份基金已实现收益采用四舍五入保留至小数点后第</w:t>
      </w:r>
      <w:r>
        <w:rPr>
          <w:rFonts w:ascii="宋体" w:hAnsi="宋体"/>
          <w:sz w:val="24"/>
        </w:rPr>
        <w:t>4</w:t>
      </w:r>
      <w:r>
        <w:rPr>
          <w:rFonts w:hint="eastAsia" w:ascii="宋体" w:hAnsi="宋体"/>
          <w:sz w:val="24"/>
        </w:rPr>
        <w:t>位，</w:t>
      </w:r>
      <w:r>
        <w:rPr>
          <w:rFonts w:ascii="宋体" w:hAnsi="宋体"/>
          <w:sz w:val="24"/>
        </w:rPr>
        <w:t>7</w:t>
      </w:r>
      <w:r>
        <w:rPr>
          <w:rFonts w:hint="eastAsia" w:ascii="宋体" w:hAnsi="宋体"/>
          <w:sz w:val="24"/>
        </w:rPr>
        <w:t>日年化收益率采用四舍五入保留至百分号内小数点后第</w:t>
      </w:r>
      <w:r>
        <w:rPr>
          <w:rFonts w:ascii="宋体" w:hAnsi="宋体"/>
          <w:sz w:val="24"/>
        </w:rPr>
        <w:t>3</w:t>
      </w:r>
      <w:r>
        <w:rPr>
          <w:rFonts w:hint="eastAsia" w:ascii="宋体" w:hAnsi="宋体"/>
          <w:sz w:val="24"/>
        </w:rPr>
        <w:t>位。如果基金成立不足7日，按类似规则计算。</w:t>
      </w:r>
    </w:p>
    <w:p>
      <w:pPr>
        <w:spacing w:line="360" w:lineRule="auto"/>
        <w:ind w:firstLine="424" w:firstLineChars="177"/>
        <w:rPr>
          <w:rFonts w:ascii="宋体" w:hAnsi="宋体"/>
          <w:sz w:val="24"/>
        </w:rPr>
      </w:pPr>
      <w:r>
        <w:rPr>
          <w:rFonts w:hint="eastAsia" w:ascii="宋体" w:hAnsi="宋体"/>
          <w:sz w:val="24"/>
        </w:rPr>
        <w:t>（2）</w:t>
      </w:r>
      <w:r>
        <w:rPr>
          <w:rFonts w:hint="eastAsia"/>
          <w:bCs/>
          <w:sz w:val="24"/>
        </w:rPr>
        <w:t>在开始办理基金份额申购或者赎回后，基金管理人将在每个开放日的次日，通过网站、基金份额销售网点以及其他媒介，披露开放日各类</w:t>
      </w:r>
      <w:r>
        <w:rPr>
          <w:bCs/>
          <w:sz w:val="24"/>
        </w:rPr>
        <w:t>基金份额</w:t>
      </w:r>
      <w:r>
        <w:rPr>
          <w:rFonts w:hint="eastAsia"/>
          <w:bCs/>
          <w:sz w:val="24"/>
        </w:rPr>
        <w:t>的每万份基金已实现收益和</w:t>
      </w:r>
      <w:r>
        <w:rPr>
          <w:bCs/>
          <w:sz w:val="24"/>
        </w:rPr>
        <w:t>7</w:t>
      </w:r>
      <w:r>
        <w:rPr>
          <w:rFonts w:hint="eastAsia"/>
          <w:bCs/>
          <w:sz w:val="24"/>
        </w:rPr>
        <w:t>日年化收益率，若遇法定节假日，应于节假日结束后第二个自然日，披露节假日期间各类</w:t>
      </w:r>
      <w:r>
        <w:rPr>
          <w:bCs/>
          <w:sz w:val="24"/>
        </w:rPr>
        <w:t>基金份额</w:t>
      </w:r>
      <w:r>
        <w:rPr>
          <w:rFonts w:hint="eastAsia"/>
          <w:bCs/>
          <w:sz w:val="24"/>
        </w:rPr>
        <w:t>的每万份基金已实现收益和节假日最后一日的</w:t>
      </w:r>
      <w:r>
        <w:rPr>
          <w:bCs/>
          <w:sz w:val="24"/>
        </w:rPr>
        <w:t>7</w:t>
      </w:r>
      <w:r>
        <w:rPr>
          <w:rFonts w:hint="eastAsia"/>
          <w:bCs/>
          <w:sz w:val="24"/>
        </w:rPr>
        <w:t>日年化收益率，以及节假日后首个开放日各类</w:t>
      </w:r>
      <w:r>
        <w:rPr>
          <w:bCs/>
          <w:sz w:val="24"/>
        </w:rPr>
        <w:t>基金份额</w:t>
      </w:r>
      <w:r>
        <w:rPr>
          <w:rFonts w:hint="eastAsia"/>
          <w:bCs/>
          <w:sz w:val="24"/>
        </w:rPr>
        <w:t>的每万份基金已实现收益和</w:t>
      </w:r>
      <w:r>
        <w:rPr>
          <w:bCs/>
          <w:sz w:val="24"/>
        </w:rPr>
        <w:t>7</w:t>
      </w:r>
      <w:r>
        <w:rPr>
          <w:rFonts w:hint="eastAsia"/>
          <w:bCs/>
          <w:sz w:val="24"/>
        </w:rPr>
        <w:t>日年化收益率。经中国证监会同意，可以适当延迟计算或公告。法律法规另有规定的，从其规定。</w:t>
      </w:r>
    </w:p>
    <w:p>
      <w:pPr>
        <w:spacing w:line="360" w:lineRule="auto"/>
        <w:ind w:firstLine="424" w:firstLineChars="177"/>
        <w:rPr>
          <w:rFonts w:ascii="宋体" w:hAnsi="宋体"/>
          <w:sz w:val="24"/>
        </w:rPr>
      </w:pPr>
      <w:r>
        <w:rPr>
          <w:rFonts w:hint="eastAsia" w:ascii="宋体" w:hAnsi="宋体"/>
          <w:sz w:val="24"/>
        </w:rPr>
        <w:t>（3）</w:t>
      </w:r>
      <w:r>
        <w:rPr>
          <w:rFonts w:hint="eastAsia"/>
          <w:bCs/>
          <w:sz w:val="24"/>
        </w:rPr>
        <w:t>基金管理人将公告半年度和年度最后一个市场交易日（或自然日）基金资产净值、各类基金份额的每万份基金已实现收益和7日年化收益率。基金管理人应当在上述市场交易日（或自然日）的次日，将基金资产净值、各类基金份额的每万份基金已实现收益和7日年化收益率登载在指定媒介上</w:t>
      </w:r>
      <w:r>
        <w:rPr>
          <w:bCs/>
          <w:sz w:val="24"/>
        </w:rPr>
        <w:t>。</w:t>
      </w:r>
    </w:p>
    <w:p>
      <w:pPr>
        <w:spacing w:line="360" w:lineRule="auto"/>
        <w:ind w:firstLine="424" w:firstLineChars="177"/>
        <w:rPr>
          <w:rFonts w:ascii="宋体" w:hAnsi="宋体"/>
          <w:sz w:val="24"/>
        </w:rPr>
      </w:pPr>
      <w:r>
        <w:rPr>
          <w:rFonts w:hint="eastAsia" w:ascii="宋体" w:hAnsi="宋体"/>
          <w:sz w:val="24"/>
        </w:rPr>
        <w:t>5、基金定期报告，包括基金年度报告、基金半年度报告和基金季度报告。</w:t>
      </w:r>
    </w:p>
    <w:p>
      <w:pPr>
        <w:spacing w:line="360" w:lineRule="auto"/>
        <w:ind w:firstLine="480" w:firstLineChars="200"/>
        <w:rPr>
          <w:rFonts w:ascii="宋体" w:hAnsi="宋体"/>
          <w:sz w:val="24"/>
        </w:rPr>
      </w:pPr>
      <w:r>
        <w:rPr>
          <w:rFonts w:hint="eastAsia" w:ascii="宋体" w:hAnsi="宋体"/>
          <w:sz w:val="24"/>
        </w:rPr>
        <w:t>基金管理人应当在每年结束之日起90日内，编制完成基金年度报告，并将年度报告正文登载于网站上，将年度报告摘要登载在指定媒介上。基金年度报告的财务会计报告应当经过审计。</w:t>
      </w:r>
    </w:p>
    <w:p>
      <w:pPr>
        <w:spacing w:line="360" w:lineRule="auto"/>
        <w:ind w:firstLine="480" w:firstLineChars="200"/>
        <w:rPr>
          <w:rFonts w:ascii="宋体" w:hAnsi="宋体"/>
          <w:sz w:val="24"/>
        </w:rPr>
      </w:pPr>
      <w:r>
        <w:rPr>
          <w:rFonts w:hint="eastAsia" w:ascii="宋体" w:hAnsi="宋体"/>
          <w:sz w:val="24"/>
        </w:rPr>
        <w:t>基金管理人应当在上半年结束之日起60日内，编制完成基金半年度报告，并将半年度报告正文登载在网站上，将半年度报告摘要登载在指定媒介上。</w:t>
      </w:r>
    </w:p>
    <w:p>
      <w:pPr>
        <w:spacing w:line="360" w:lineRule="auto"/>
        <w:ind w:firstLine="480" w:firstLineChars="200"/>
        <w:rPr>
          <w:rFonts w:ascii="宋体" w:hAnsi="宋体"/>
          <w:sz w:val="24"/>
        </w:rPr>
      </w:pPr>
      <w:r>
        <w:rPr>
          <w:rFonts w:hint="eastAsia" w:ascii="宋体" w:hAnsi="宋体"/>
          <w:sz w:val="24"/>
        </w:rPr>
        <w:t>基金管理人应当在每个季度结束之日起15个工作日内，编制完成基金季度报告，并将季度报告登载在指定媒介。</w:t>
      </w:r>
    </w:p>
    <w:p>
      <w:pPr>
        <w:spacing w:line="360" w:lineRule="auto"/>
        <w:ind w:firstLine="480" w:firstLineChars="200"/>
        <w:rPr>
          <w:rFonts w:ascii="宋体" w:hAnsi="宋体"/>
          <w:sz w:val="24"/>
        </w:rPr>
      </w:pPr>
      <w:r>
        <w:rPr>
          <w:rFonts w:hint="eastAsia" w:ascii="宋体" w:hAnsi="宋体"/>
          <w:sz w:val="24"/>
        </w:rPr>
        <w:t>《基金合同》生效不足2个月的，基金管理人可以不编制当期季度报告、半年度报告或者年度报告。</w:t>
      </w:r>
    </w:p>
    <w:p>
      <w:pPr>
        <w:spacing w:line="360" w:lineRule="auto"/>
        <w:ind w:firstLine="480" w:firstLineChars="200"/>
        <w:rPr>
          <w:rFonts w:ascii="宋体" w:hAnsi="宋体"/>
          <w:sz w:val="24"/>
        </w:rPr>
      </w:pPr>
      <w:r>
        <w:rPr>
          <w:bCs/>
          <w:sz w:val="24"/>
        </w:rPr>
        <w:t>基金定期报告在公开披露的第</w:t>
      </w:r>
      <w:r>
        <w:rPr>
          <w:rFonts w:ascii="宋体" w:hAnsi="宋体"/>
          <w:bCs/>
          <w:sz w:val="24"/>
        </w:rPr>
        <w:t>2个</w:t>
      </w:r>
      <w:r>
        <w:rPr>
          <w:bCs/>
          <w:sz w:val="24"/>
        </w:rPr>
        <w:t>工作日，分别报中国证监会和基金管理人主要办公场所所在地中国证监会派出机构备案。报备应当采用电子文本</w:t>
      </w:r>
      <w:r>
        <w:rPr>
          <w:rFonts w:hint="eastAsia"/>
          <w:bCs/>
          <w:sz w:val="24"/>
        </w:rPr>
        <w:t>或</w:t>
      </w:r>
      <w:r>
        <w:rPr>
          <w:bCs/>
          <w:sz w:val="24"/>
        </w:rPr>
        <w:t>书面报告方式。</w:t>
      </w:r>
    </w:p>
    <w:p>
      <w:pPr>
        <w:spacing w:line="360" w:lineRule="auto"/>
        <w:ind w:firstLine="480" w:firstLineChars="200"/>
        <w:rPr>
          <w:rFonts w:ascii="宋体" w:hAnsi="宋体"/>
          <w:sz w:val="24"/>
        </w:rPr>
      </w:pPr>
      <w:r>
        <w:rPr>
          <w:rFonts w:ascii="宋体" w:hAnsi="宋体"/>
          <w:sz w:val="24"/>
        </w:rPr>
        <w:t>6</w:t>
      </w:r>
      <w:r>
        <w:rPr>
          <w:rFonts w:hint="eastAsia" w:ascii="宋体" w:hAnsi="宋体"/>
          <w:sz w:val="24"/>
        </w:rPr>
        <w:t>、临时报告</w:t>
      </w:r>
    </w:p>
    <w:p>
      <w:pPr>
        <w:spacing w:line="360" w:lineRule="auto"/>
        <w:ind w:firstLine="480" w:firstLineChars="200"/>
        <w:rPr>
          <w:rFonts w:ascii="宋体" w:hAnsi="宋体"/>
          <w:sz w:val="24"/>
        </w:rPr>
      </w:pPr>
      <w:r>
        <w:rPr>
          <w:rFonts w:hint="eastAsia" w:ascii="宋体" w:hAnsi="宋体"/>
          <w:sz w:val="24"/>
        </w:rPr>
        <w:t>基金发生重大事件，有关信息披露义务人应当在2个</w:t>
      </w:r>
      <w:r>
        <w:rPr>
          <w:rFonts w:ascii="宋体" w:hAnsi="宋体"/>
          <w:sz w:val="24"/>
        </w:rPr>
        <w:t>工作日</w:t>
      </w:r>
      <w:r>
        <w:rPr>
          <w:rFonts w:hint="eastAsia" w:ascii="宋体" w:hAnsi="宋体"/>
          <w:sz w:val="24"/>
        </w:rPr>
        <w:t>内编制临时报告书，予以公告，并在公开披露日分别报中国证监会和基金管理人主要办公场所所在地中国证监会派出机构备案。</w:t>
      </w:r>
    </w:p>
    <w:p>
      <w:pPr>
        <w:spacing w:line="360" w:lineRule="auto"/>
        <w:ind w:firstLine="480" w:firstLineChars="200"/>
        <w:rPr>
          <w:rFonts w:ascii="宋体" w:hAnsi="宋体"/>
          <w:sz w:val="24"/>
        </w:rPr>
      </w:pPr>
      <w:r>
        <w:rPr>
          <w:rFonts w:hint="eastAsia" w:ascii="宋体" w:hAnsi="宋体"/>
          <w:sz w:val="24"/>
        </w:rPr>
        <w:t>前款所称重大事件，是指可能对基金份额持有人权益或者基金资产净值的价格产生重大影响的下列事件，包括：</w:t>
      </w:r>
    </w:p>
    <w:p>
      <w:pPr>
        <w:spacing w:line="360" w:lineRule="auto"/>
        <w:ind w:firstLine="480" w:firstLineChars="200"/>
        <w:rPr>
          <w:rFonts w:ascii="宋体" w:hAnsi="宋体"/>
          <w:sz w:val="24"/>
        </w:rPr>
      </w:pPr>
      <w:r>
        <w:rPr>
          <w:rFonts w:hint="eastAsia" w:ascii="宋体" w:hAnsi="宋体"/>
          <w:sz w:val="24"/>
        </w:rPr>
        <w:t>（1）基金份额持有人大会的召开；</w:t>
      </w:r>
    </w:p>
    <w:p>
      <w:pPr>
        <w:spacing w:line="360" w:lineRule="auto"/>
        <w:ind w:firstLine="480" w:firstLineChars="200"/>
        <w:rPr>
          <w:rFonts w:ascii="宋体" w:hAnsi="宋体"/>
          <w:sz w:val="24"/>
        </w:rPr>
      </w:pPr>
      <w:r>
        <w:rPr>
          <w:rFonts w:hint="eastAsia" w:ascii="宋体" w:hAnsi="宋体"/>
          <w:sz w:val="24"/>
        </w:rPr>
        <w:t>（2）终止《基金合同》；</w:t>
      </w:r>
    </w:p>
    <w:p>
      <w:pPr>
        <w:spacing w:line="360" w:lineRule="auto"/>
        <w:ind w:firstLine="480" w:firstLineChars="200"/>
        <w:rPr>
          <w:rFonts w:ascii="宋体" w:hAnsi="宋体"/>
          <w:sz w:val="24"/>
        </w:rPr>
      </w:pPr>
      <w:r>
        <w:rPr>
          <w:rFonts w:hint="eastAsia" w:ascii="宋体" w:hAnsi="宋体"/>
          <w:sz w:val="24"/>
        </w:rPr>
        <w:t>（3）转换基金运作方式；</w:t>
      </w:r>
    </w:p>
    <w:p>
      <w:pPr>
        <w:spacing w:line="360" w:lineRule="auto"/>
        <w:ind w:firstLine="480" w:firstLineChars="200"/>
        <w:rPr>
          <w:rFonts w:ascii="宋体" w:hAnsi="宋体"/>
          <w:sz w:val="24"/>
        </w:rPr>
      </w:pPr>
      <w:r>
        <w:rPr>
          <w:rFonts w:hint="eastAsia" w:ascii="宋体" w:hAnsi="宋体"/>
          <w:sz w:val="24"/>
        </w:rPr>
        <w:t>（4）更换基金管理人、基金托管人；</w:t>
      </w:r>
    </w:p>
    <w:p>
      <w:pPr>
        <w:spacing w:line="360" w:lineRule="auto"/>
        <w:ind w:firstLine="480" w:firstLineChars="200"/>
        <w:rPr>
          <w:rFonts w:ascii="宋体" w:hAnsi="宋体"/>
          <w:sz w:val="24"/>
        </w:rPr>
      </w:pPr>
      <w:r>
        <w:rPr>
          <w:rFonts w:hint="eastAsia" w:ascii="宋体" w:hAnsi="宋体"/>
          <w:sz w:val="24"/>
        </w:rPr>
        <w:t>（5）基金管理人、基金托管人的法定名称、住所发生变更；</w:t>
      </w:r>
    </w:p>
    <w:p>
      <w:pPr>
        <w:spacing w:line="360" w:lineRule="auto"/>
        <w:ind w:firstLine="480" w:firstLineChars="200"/>
        <w:rPr>
          <w:rFonts w:ascii="宋体" w:hAnsi="宋体"/>
          <w:sz w:val="24"/>
        </w:rPr>
      </w:pPr>
      <w:r>
        <w:rPr>
          <w:rFonts w:hint="eastAsia" w:ascii="宋体" w:hAnsi="宋体"/>
          <w:sz w:val="24"/>
        </w:rPr>
        <w:t>（6）基金管理人股东及其出资比例发生变更；</w:t>
      </w:r>
    </w:p>
    <w:p>
      <w:pPr>
        <w:spacing w:line="360" w:lineRule="auto"/>
        <w:ind w:firstLine="480" w:firstLineChars="200"/>
        <w:rPr>
          <w:rFonts w:ascii="宋体" w:hAnsi="宋体"/>
          <w:sz w:val="24"/>
        </w:rPr>
      </w:pPr>
      <w:r>
        <w:rPr>
          <w:rFonts w:hint="eastAsia" w:ascii="宋体" w:hAnsi="宋体"/>
          <w:sz w:val="24"/>
        </w:rPr>
        <w:t>（7）基金募集期延长；</w:t>
      </w:r>
    </w:p>
    <w:p>
      <w:pPr>
        <w:spacing w:line="360" w:lineRule="auto"/>
        <w:ind w:firstLine="480" w:firstLineChars="200"/>
        <w:rPr>
          <w:rFonts w:ascii="宋体" w:hAnsi="宋体"/>
          <w:sz w:val="24"/>
        </w:rPr>
      </w:pPr>
      <w:r>
        <w:rPr>
          <w:rFonts w:hint="eastAsia" w:ascii="宋体" w:hAnsi="宋体"/>
          <w:sz w:val="24"/>
        </w:rPr>
        <w:t>（8）基金管理人的董事长、总经理及其他高级管理人员、基金经理和基金托管人基金托管部门负责人发生变动；</w:t>
      </w:r>
    </w:p>
    <w:p>
      <w:pPr>
        <w:spacing w:line="360" w:lineRule="auto"/>
        <w:ind w:firstLine="480" w:firstLineChars="200"/>
        <w:rPr>
          <w:rFonts w:ascii="宋体" w:hAnsi="宋体"/>
          <w:sz w:val="24"/>
        </w:rPr>
      </w:pPr>
      <w:r>
        <w:rPr>
          <w:rFonts w:hint="eastAsia" w:ascii="宋体" w:hAnsi="宋体"/>
          <w:sz w:val="24"/>
        </w:rPr>
        <w:t>（9）基金管理人的董事在一年内变更超过百分之五十；</w:t>
      </w:r>
    </w:p>
    <w:p>
      <w:pPr>
        <w:spacing w:line="360" w:lineRule="auto"/>
        <w:ind w:firstLine="480" w:firstLineChars="200"/>
        <w:rPr>
          <w:rFonts w:ascii="宋体" w:hAnsi="宋体"/>
          <w:sz w:val="24"/>
        </w:rPr>
      </w:pPr>
      <w:r>
        <w:rPr>
          <w:rFonts w:hint="eastAsia" w:ascii="宋体" w:hAnsi="宋体"/>
          <w:sz w:val="24"/>
        </w:rPr>
        <w:t>（10）基金管理人、基金托管人基金托管部门的主要业务人员在一年内变动超过百分之三十；</w:t>
      </w:r>
    </w:p>
    <w:p>
      <w:pPr>
        <w:spacing w:line="360" w:lineRule="auto"/>
        <w:ind w:firstLine="480" w:firstLineChars="200"/>
        <w:rPr>
          <w:rFonts w:ascii="宋体" w:hAnsi="宋体"/>
          <w:sz w:val="24"/>
        </w:rPr>
      </w:pPr>
      <w:r>
        <w:rPr>
          <w:rFonts w:hint="eastAsia" w:ascii="宋体" w:hAnsi="宋体"/>
          <w:sz w:val="24"/>
        </w:rPr>
        <w:t>（11）涉及基金财产、基金管理业务、基金托管业务的诉讼</w:t>
      </w:r>
      <w:r>
        <w:rPr>
          <w:rFonts w:hint="eastAsia"/>
          <w:bCs/>
          <w:sz w:val="24"/>
        </w:rPr>
        <w:t>或者仲裁</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（12）基金管理人、基金托管人受到监管部门的调查；</w:t>
      </w:r>
    </w:p>
    <w:p>
      <w:pPr>
        <w:spacing w:line="360" w:lineRule="auto"/>
        <w:ind w:firstLine="480" w:firstLineChars="200"/>
        <w:rPr>
          <w:rFonts w:ascii="宋体" w:hAnsi="宋体"/>
          <w:sz w:val="24"/>
        </w:rPr>
      </w:pPr>
      <w:r>
        <w:rPr>
          <w:rFonts w:hint="eastAsia" w:ascii="宋体" w:hAnsi="宋体"/>
          <w:sz w:val="24"/>
        </w:rPr>
        <w:t>（13）基金管理人及其董事、总经理及其他高级管理人员、基金经理受到严重行政处罚，基金托管人及其基金托管部门负责人受到严重行政处罚；</w:t>
      </w:r>
    </w:p>
    <w:p>
      <w:pPr>
        <w:adjustRightInd w:val="0"/>
        <w:snapToGrid w:val="0"/>
        <w:spacing w:line="360" w:lineRule="auto"/>
        <w:ind w:firstLine="480" w:firstLineChars="200"/>
        <w:rPr>
          <w:rFonts w:ascii="宋体" w:hAnsi="宋体"/>
          <w:sz w:val="24"/>
        </w:rPr>
      </w:pPr>
      <w:r>
        <w:rPr>
          <w:rFonts w:hint="eastAsia" w:ascii="宋体" w:hAnsi="宋体"/>
          <w:sz w:val="24"/>
        </w:rPr>
        <w:t>（14）重大关联交易事项；</w:t>
      </w:r>
    </w:p>
    <w:p>
      <w:pPr>
        <w:adjustRightInd w:val="0"/>
        <w:snapToGrid w:val="0"/>
        <w:spacing w:line="360" w:lineRule="auto"/>
        <w:ind w:firstLine="480" w:firstLineChars="200"/>
        <w:rPr>
          <w:rFonts w:ascii="宋体" w:hAnsi="宋体"/>
          <w:sz w:val="24"/>
        </w:rPr>
      </w:pPr>
      <w:r>
        <w:rPr>
          <w:rFonts w:hint="eastAsia" w:ascii="宋体" w:hAnsi="宋体"/>
          <w:sz w:val="24"/>
        </w:rPr>
        <w:t>（15）基金收益分配事项</w:t>
      </w:r>
      <w:r>
        <w:rPr>
          <w:rFonts w:hint="eastAsia" w:ascii="宋体" w:hAnsi="宋体"/>
          <w:bCs/>
          <w:sz w:val="24"/>
        </w:rPr>
        <w:t>，但基金合同另有约定的除外</w:t>
      </w:r>
      <w:r>
        <w:rPr>
          <w:rFonts w:hint="eastAsia" w:ascii="宋体" w:hAnsi="宋体"/>
          <w:sz w:val="24"/>
        </w:rPr>
        <w:t>；</w:t>
      </w:r>
    </w:p>
    <w:p>
      <w:pPr>
        <w:adjustRightInd w:val="0"/>
        <w:snapToGrid w:val="0"/>
        <w:spacing w:line="360" w:lineRule="auto"/>
        <w:ind w:firstLine="480" w:firstLineChars="200"/>
        <w:rPr>
          <w:rFonts w:ascii="宋体" w:hAnsi="宋体"/>
          <w:sz w:val="24"/>
        </w:rPr>
      </w:pPr>
      <w:r>
        <w:rPr>
          <w:rFonts w:hint="eastAsia" w:ascii="宋体" w:hAnsi="宋体"/>
          <w:sz w:val="24"/>
        </w:rPr>
        <w:t>（16）管理费、托管费等费用计提标准、计提方式和费率发生变更；</w:t>
      </w:r>
    </w:p>
    <w:p>
      <w:pPr>
        <w:adjustRightInd w:val="0"/>
        <w:snapToGrid w:val="0"/>
        <w:spacing w:line="360" w:lineRule="auto"/>
        <w:ind w:firstLine="480" w:firstLineChars="200"/>
        <w:rPr>
          <w:rFonts w:ascii="宋体" w:hAnsi="宋体"/>
          <w:sz w:val="24"/>
        </w:rPr>
      </w:pPr>
      <w:r>
        <w:rPr>
          <w:rFonts w:hint="eastAsia" w:ascii="宋体" w:hAnsi="宋体"/>
          <w:sz w:val="24"/>
        </w:rPr>
        <w:t>（17）基金资产净值计价错误达基金资产净值百分之零点五；</w:t>
      </w:r>
    </w:p>
    <w:p>
      <w:pPr>
        <w:adjustRightInd w:val="0"/>
        <w:snapToGrid w:val="0"/>
        <w:spacing w:line="360" w:lineRule="auto"/>
        <w:ind w:firstLine="480" w:firstLineChars="200"/>
        <w:rPr>
          <w:rFonts w:ascii="宋体" w:hAnsi="宋体"/>
          <w:sz w:val="24"/>
        </w:rPr>
      </w:pPr>
      <w:r>
        <w:rPr>
          <w:rFonts w:hint="eastAsia" w:ascii="宋体" w:hAnsi="宋体"/>
          <w:sz w:val="24"/>
        </w:rPr>
        <w:t>（18）基金改聘会计师事务所；</w:t>
      </w:r>
    </w:p>
    <w:p>
      <w:pPr>
        <w:adjustRightInd w:val="0"/>
        <w:snapToGrid w:val="0"/>
        <w:spacing w:line="360" w:lineRule="auto"/>
        <w:ind w:firstLine="480" w:firstLineChars="200"/>
        <w:rPr>
          <w:rFonts w:ascii="宋体" w:hAnsi="宋体"/>
          <w:sz w:val="24"/>
        </w:rPr>
      </w:pPr>
      <w:r>
        <w:rPr>
          <w:rFonts w:hint="eastAsia" w:ascii="宋体" w:hAnsi="宋体"/>
          <w:sz w:val="24"/>
        </w:rPr>
        <w:t>（19）变更基金销售机构；</w:t>
      </w:r>
    </w:p>
    <w:p>
      <w:pPr>
        <w:adjustRightInd w:val="0"/>
        <w:snapToGrid w:val="0"/>
        <w:spacing w:line="360" w:lineRule="auto"/>
        <w:ind w:firstLine="480" w:firstLineChars="200"/>
        <w:rPr>
          <w:rFonts w:ascii="宋体" w:hAnsi="宋体"/>
          <w:sz w:val="24"/>
        </w:rPr>
      </w:pPr>
      <w:r>
        <w:rPr>
          <w:rFonts w:hint="eastAsia" w:ascii="宋体" w:hAnsi="宋体"/>
          <w:sz w:val="24"/>
        </w:rPr>
        <w:t>（20）更换基金登记机构；</w:t>
      </w:r>
    </w:p>
    <w:p>
      <w:pPr>
        <w:adjustRightInd w:val="0"/>
        <w:snapToGrid w:val="0"/>
        <w:spacing w:line="360" w:lineRule="auto"/>
        <w:ind w:firstLine="480" w:firstLineChars="200"/>
        <w:rPr>
          <w:rFonts w:ascii="宋体" w:hAnsi="宋体"/>
          <w:sz w:val="24"/>
        </w:rPr>
      </w:pPr>
      <w:r>
        <w:rPr>
          <w:rFonts w:hint="eastAsia" w:ascii="宋体" w:hAnsi="宋体"/>
          <w:sz w:val="24"/>
        </w:rPr>
        <w:t>（21）基金开始办理申购、赎回；</w:t>
      </w:r>
    </w:p>
    <w:p>
      <w:pPr>
        <w:adjustRightInd w:val="0"/>
        <w:snapToGrid w:val="0"/>
        <w:spacing w:line="360" w:lineRule="auto"/>
        <w:ind w:firstLine="480" w:firstLineChars="200"/>
        <w:rPr>
          <w:rFonts w:ascii="宋体" w:hAnsi="宋体"/>
          <w:sz w:val="24"/>
        </w:rPr>
      </w:pPr>
      <w:r>
        <w:rPr>
          <w:rFonts w:hint="eastAsia" w:ascii="宋体" w:hAnsi="宋体"/>
          <w:sz w:val="24"/>
        </w:rPr>
        <w:t>（22）基金申购、赎回费率及其收费方式发生变更；</w:t>
      </w:r>
    </w:p>
    <w:p>
      <w:pPr>
        <w:adjustRightInd w:val="0"/>
        <w:snapToGrid w:val="0"/>
        <w:spacing w:line="360" w:lineRule="auto"/>
        <w:ind w:firstLine="480" w:firstLineChars="200"/>
        <w:rPr>
          <w:rFonts w:ascii="宋体" w:hAnsi="宋体"/>
          <w:sz w:val="24"/>
        </w:rPr>
      </w:pPr>
      <w:r>
        <w:rPr>
          <w:rFonts w:hint="eastAsia" w:ascii="宋体" w:hAnsi="宋体"/>
          <w:sz w:val="24"/>
        </w:rPr>
        <w:t>（23）基金发生巨额赎回并延期办理；</w:t>
      </w:r>
    </w:p>
    <w:p>
      <w:pPr>
        <w:adjustRightInd w:val="0"/>
        <w:snapToGrid w:val="0"/>
        <w:spacing w:line="360" w:lineRule="auto"/>
        <w:ind w:firstLine="480" w:firstLineChars="200"/>
        <w:rPr>
          <w:rFonts w:ascii="宋体" w:hAnsi="宋体"/>
          <w:sz w:val="24"/>
        </w:rPr>
      </w:pPr>
      <w:r>
        <w:rPr>
          <w:rFonts w:hint="eastAsia" w:ascii="宋体" w:hAnsi="宋体"/>
          <w:sz w:val="24"/>
        </w:rPr>
        <w:t>（24）基金连续发生巨额赎回并暂停接受赎回申请；</w:t>
      </w:r>
    </w:p>
    <w:p>
      <w:pPr>
        <w:adjustRightInd w:val="0"/>
        <w:snapToGrid w:val="0"/>
        <w:spacing w:line="360" w:lineRule="auto"/>
        <w:ind w:firstLine="480" w:firstLineChars="200"/>
        <w:rPr>
          <w:rFonts w:ascii="宋体" w:hAnsi="宋体"/>
          <w:sz w:val="24"/>
        </w:rPr>
      </w:pPr>
      <w:r>
        <w:rPr>
          <w:rFonts w:hint="eastAsia" w:ascii="宋体" w:hAnsi="宋体"/>
          <w:sz w:val="24"/>
        </w:rPr>
        <w:t>（25）基金暂停接受申购、赎回申请后重新接受申购、赎回；</w:t>
      </w:r>
    </w:p>
    <w:p>
      <w:pPr>
        <w:adjustRightInd w:val="0"/>
        <w:snapToGrid w:val="0"/>
        <w:spacing w:line="360" w:lineRule="auto"/>
        <w:ind w:firstLine="480" w:firstLineChars="200"/>
        <w:rPr>
          <w:rFonts w:ascii="宋体" w:hAnsi="宋体"/>
          <w:sz w:val="24"/>
        </w:rPr>
      </w:pPr>
      <w:r>
        <w:rPr>
          <w:rFonts w:hint="eastAsia" w:ascii="宋体" w:hAnsi="宋体"/>
          <w:sz w:val="24"/>
        </w:rPr>
        <w:t>（26）</w:t>
      </w:r>
      <w:r>
        <w:rPr>
          <w:rFonts w:hint="eastAsia"/>
          <w:bCs/>
          <w:sz w:val="24"/>
        </w:rPr>
        <w:t>当</w:t>
      </w:r>
      <w:r>
        <w:rPr>
          <w:rFonts w:hint="eastAsia" w:ascii="宋体" w:hAnsi="宋体"/>
          <w:sz w:val="24"/>
        </w:rPr>
        <w:t>“影子定价”确定的基金资产净值与</w:t>
      </w:r>
      <w:r>
        <w:rPr>
          <w:rFonts w:hint="eastAsia"/>
          <w:bCs/>
          <w:sz w:val="24"/>
        </w:rPr>
        <w:t>“摊余成本法”计算的基金资产净值的负偏离度绝对值达到0.25%或正负偏离度绝对值达到0.5%的情形；当影子定价确定的基金资产净值与摊余成本法计算的基金资产净值的负偏离度绝对值连续两个交易日超过0.5%的</w:t>
      </w:r>
      <w:r>
        <w:rPr>
          <w:bCs/>
          <w:sz w:val="24"/>
        </w:rPr>
        <w:t>情形</w:t>
      </w:r>
      <w:r>
        <w:rPr>
          <w:rFonts w:hint="eastAsia" w:ascii="宋体" w:hAnsi="宋体"/>
          <w:sz w:val="24"/>
        </w:rPr>
        <w:t>；</w:t>
      </w:r>
    </w:p>
    <w:p>
      <w:pPr>
        <w:adjustRightInd w:val="0"/>
        <w:snapToGrid w:val="0"/>
        <w:spacing w:line="360" w:lineRule="auto"/>
        <w:ind w:firstLine="480" w:firstLineChars="200"/>
        <w:rPr>
          <w:rFonts w:ascii="宋体" w:hAnsi="宋体"/>
          <w:sz w:val="24"/>
        </w:rPr>
      </w:pPr>
      <w:r>
        <w:rPr>
          <w:rFonts w:hint="eastAsia" w:ascii="宋体" w:hAnsi="宋体"/>
          <w:sz w:val="24"/>
        </w:rPr>
        <w:t xml:space="preserve">（27）调整本基金的份额类别设置； </w:t>
      </w:r>
    </w:p>
    <w:p>
      <w:pPr>
        <w:adjustRightInd w:val="0"/>
        <w:snapToGrid w:val="0"/>
        <w:spacing w:line="360" w:lineRule="auto"/>
        <w:ind w:firstLine="480" w:firstLineChars="200"/>
        <w:rPr>
          <w:rFonts w:ascii="宋体" w:hAnsi="宋体"/>
          <w:sz w:val="24"/>
        </w:rPr>
      </w:pPr>
      <w:r>
        <w:rPr>
          <w:rFonts w:hint="eastAsia" w:ascii="宋体" w:hAnsi="宋体"/>
          <w:sz w:val="24"/>
        </w:rPr>
        <w:t xml:space="preserve">（28）本基金推出新业务或服务； </w:t>
      </w:r>
    </w:p>
    <w:p>
      <w:pPr>
        <w:adjustRightInd w:val="0"/>
        <w:snapToGrid w:val="0"/>
        <w:spacing w:line="360" w:lineRule="auto"/>
        <w:ind w:firstLine="480" w:firstLineChars="200"/>
        <w:rPr>
          <w:rFonts w:ascii="宋体" w:hAnsi="宋体"/>
          <w:sz w:val="24"/>
        </w:rPr>
      </w:pPr>
      <w:r>
        <w:rPr>
          <w:rFonts w:hint="eastAsia" w:ascii="宋体" w:hAnsi="宋体"/>
          <w:sz w:val="24"/>
        </w:rPr>
        <w:t>（29）中国证监会规定的其他事项。</w:t>
      </w:r>
    </w:p>
    <w:p>
      <w:pPr>
        <w:spacing w:line="360" w:lineRule="auto"/>
        <w:ind w:firstLine="480" w:firstLineChars="200"/>
        <w:rPr>
          <w:rFonts w:ascii="宋体" w:hAnsi="宋体"/>
          <w:sz w:val="24"/>
        </w:rPr>
      </w:pPr>
      <w:r>
        <w:rPr>
          <w:rFonts w:ascii="宋体" w:hAnsi="宋体"/>
          <w:sz w:val="24"/>
        </w:rPr>
        <w:t>7</w:t>
      </w:r>
      <w:r>
        <w:rPr>
          <w:rFonts w:hint="eastAsia" w:ascii="宋体" w:hAnsi="宋体"/>
          <w:sz w:val="24"/>
        </w:rPr>
        <w:t>、澄清公告</w:t>
      </w:r>
    </w:p>
    <w:p>
      <w:pPr>
        <w:spacing w:line="360" w:lineRule="auto"/>
        <w:ind w:firstLine="480" w:firstLineChars="200"/>
        <w:rPr>
          <w:rFonts w:ascii="宋体" w:hAnsi="宋体"/>
          <w:sz w:val="24"/>
        </w:rPr>
      </w:pPr>
      <w:r>
        <w:rPr>
          <w:rFonts w:hint="eastAsia" w:ascii="宋体" w:hAnsi="宋体"/>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pPr>
        <w:spacing w:line="360" w:lineRule="auto"/>
        <w:ind w:firstLine="480" w:firstLineChars="200"/>
        <w:rPr>
          <w:bCs/>
          <w:sz w:val="24"/>
        </w:rPr>
      </w:pPr>
      <w:r>
        <w:rPr>
          <w:bCs/>
          <w:sz w:val="24"/>
        </w:rPr>
        <w:t>8</w:t>
      </w:r>
      <w:r>
        <w:rPr>
          <w:rFonts w:hint="eastAsia"/>
          <w:bCs/>
          <w:sz w:val="24"/>
        </w:rPr>
        <w:t>、</w:t>
      </w:r>
      <w:r>
        <w:rPr>
          <w:bCs/>
          <w:sz w:val="24"/>
        </w:rPr>
        <w:t>基金份额持有人大会决议</w:t>
      </w:r>
    </w:p>
    <w:p>
      <w:pPr>
        <w:spacing w:line="360" w:lineRule="auto"/>
        <w:ind w:firstLine="480" w:firstLineChars="200"/>
        <w:rPr>
          <w:bCs/>
          <w:sz w:val="24"/>
        </w:rPr>
      </w:pPr>
      <w:r>
        <w:rPr>
          <w:bCs/>
          <w:sz w:val="24"/>
        </w:rPr>
        <w:t>基金份额持有人大会决定的事项，应当依法报</w:t>
      </w:r>
      <w:r>
        <w:rPr>
          <w:rFonts w:hint="eastAsia"/>
          <w:bCs/>
          <w:sz w:val="24"/>
        </w:rPr>
        <w:t>中国证监会</w:t>
      </w:r>
      <w:r>
        <w:rPr>
          <w:bCs/>
          <w:sz w:val="24"/>
        </w:rPr>
        <w:t>备案，并予以公告。</w:t>
      </w:r>
    </w:p>
    <w:p>
      <w:pPr>
        <w:spacing w:line="360" w:lineRule="auto"/>
        <w:ind w:firstLine="480" w:firstLineChars="200"/>
        <w:rPr>
          <w:bCs/>
          <w:sz w:val="24"/>
        </w:rPr>
      </w:pPr>
      <w:r>
        <w:rPr>
          <w:bCs/>
          <w:sz w:val="24"/>
        </w:rPr>
        <w:t>9</w:t>
      </w:r>
      <w:r>
        <w:rPr>
          <w:rFonts w:hint="eastAsia"/>
          <w:bCs/>
          <w:sz w:val="24"/>
        </w:rPr>
        <w:t>、资产支持证券的投资情况</w:t>
      </w:r>
    </w:p>
    <w:p>
      <w:pPr>
        <w:spacing w:line="360" w:lineRule="auto"/>
        <w:ind w:firstLine="480" w:firstLineChars="200"/>
        <w:rPr>
          <w:bCs/>
          <w:sz w:val="24"/>
        </w:rPr>
      </w:pPr>
      <w:r>
        <w:rPr>
          <w:rFonts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pPr>
        <w:spacing w:line="360" w:lineRule="auto"/>
        <w:ind w:firstLine="480" w:firstLineChars="200"/>
        <w:rPr>
          <w:bCs/>
          <w:sz w:val="24"/>
        </w:rPr>
      </w:pPr>
      <w:r>
        <w:rPr>
          <w:rFonts w:hint="eastAsia" w:ascii="宋体" w:hAnsi="宋体"/>
          <w:sz w:val="24"/>
        </w:rPr>
        <w:t>10、中国证监会规定的其他信息。</w:t>
      </w:r>
    </w:p>
    <w:p>
      <w:pPr>
        <w:spacing w:line="360" w:lineRule="auto"/>
        <w:ind w:firstLine="480" w:firstLineChars="200"/>
        <w:rPr>
          <w:bCs/>
          <w:sz w:val="24"/>
        </w:rPr>
      </w:pPr>
      <w:r>
        <w:rPr>
          <w:rFonts w:hint="eastAsia" w:ascii="宋体" w:hAnsi="宋体"/>
          <w:sz w:val="24"/>
        </w:rPr>
        <w:t>（六）</w:t>
      </w:r>
      <w:r>
        <w:rPr>
          <w:bCs/>
          <w:sz w:val="24"/>
        </w:rPr>
        <w:t>信息披露事务管理</w:t>
      </w:r>
    </w:p>
    <w:p>
      <w:pPr>
        <w:spacing w:line="360" w:lineRule="auto"/>
        <w:ind w:firstLine="480" w:firstLineChars="200"/>
        <w:rPr>
          <w:bCs/>
          <w:sz w:val="24"/>
        </w:rPr>
      </w:pPr>
      <w:r>
        <w:rPr>
          <w:bCs/>
          <w:sz w:val="24"/>
        </w:rPr>
        <w:t>基金管理人、基金托管人应当建立健全信息披露管理制度，指定专人负责管理信息披露事务。</w:t>
      </w:r>
    </w:p>
    <w:p>
      <w:pPr>
        <w:spacing w:line="360" w:lineRule="auto"/>
        <w:ind w:firstLine="480" w:firstLineChars="200"/>
        <w:rPr>
          <w:bCs/>
          <w:sz w:val="24"/>
        </w:rPr>
      </w:pPr>
      <w:r>
        <w:rPr>
          <w:bCs/>
          <w:sz w:val="24"/>
        </w:rPr>
        <w:t>基金信息披露义务人公开披露基金信息，应当符合中国证监会相关基金信息披露内容与格式准则的规定。</w:t>
      </w:r>
    </w:p>
    <w:p>
      <w:pPr>
        <w:spacing w:line="360" w:lineRule="auto"/>
        <w:ind w:firstLine="480" w:firstLineChars="200"/>
        <w:rPr>
          <w:bCs/>
          <w:sz w:val="24"/>
        </w:rPr>
      </w:pPr>
      <w:r>
        <w:rPr>
          <w:bCs/>
          <w:sz w:val="24"/>
        </w:rPr>
        <w:t>基金托管人应当按照相关法律法规、中国证监会的规定和基金合同的约定，对基金管理人编制的基金资产净值、</w:t>
      </w:r>
      <w:r>
        <w:rPr>
          <w:rFonts w:hint="eastAsia"/>
          <w:bCs/>
          <w:sz w:val="24"/>
        </w:rPr>
        <w:t>各类基金</w:t>
      </w:r>
      <w:r>
        <w:rPr>
          <w:bCs/>
          <w:sz w:val="24"/>
        </w:rPr>
        <w:t>份额的</w:t>
      </w:r>
      <w:r>
        <w:rPr>
          <w:rFonts w:hint="eastAsia"/>
          <w:bCs/>
          <w:sz w:val="24"/>
        </w:rPr>
        <w:t>每万份基金已实现收益、7日年化收益率</w:t>
      </w:r>
      <w:r>
        <w:rPr>
          <w:bCs/>
          <w:sz w:val="24"/>
        </w:rPr>
        <w:t>、基金定期报告和定期更新的招募说明书等公开披露的相关基金信息进行复核、审查，</w:t>
      </w:r>
      <w:r>
        <w:rPr>
          <w:rFonts w:hint="eastAsia"/>
          <w:bCs/>
          <w:sz w:val="24"/>
        </w:rPr>
        <w:t>并向基金管理人出具书面文件或者盖章确认</w:t>
      </w:r>
      <w:r>
        <w:rPr>
          <w:bCs/>
          <w:sz w:val="24"/>
        </w:rPr>
        <w:t>。</w:t>
      </w:r>
    </w:p>
    <w:p>
      <w:pPr>
        <w:spacing w:line="360" w:lineRule="auto"/>
        <w:ind w:firstLine="480" w:firstLineChars="200"/>
        <w:rPr>
          <w:bCs/>
          <w:sz w:val="24"/>
        </w:rPr>
      </w:pPr>
      <w:r>
        <w:rPr>
          <w:bCs/>
          <w:sz w:val="24"/>
        </w:rPr>
        <w:t>基金管理人、基金托管人应当在指定媒介中选择披露信息的报刊。</w:t>
      </w:r>
    </w:p>
    <w:p>
      <w:pPr>
        <w:spacing w:line="360" w:lineRule="auto"/>
        <w:ind w:firstLine="480" w:firstLineChars="200"/>
        <w:rPr>
          <w:bCs/>
          <w:sz w:val="24"/>
        </w:rPr>
      </w:pPr>
      <w:r>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pPr>
        <w:spacing w:line="360" w:lineRule="auto"/>
        <w:ind w:firstLine="480" w:firstLineChars="20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hint="eastAsia" w:ascii="宋体" w:hAnsi="宋体"/>
          <w:bCs/>
          <w:sz w:val="24"/>
        </w:rPr>
        <w:t>10</w:t>
      </w:r>
      <w:r>
        <w:rPr>
          <w:rFonts w:ascii="宋体" w:hAnsi="宋体"/>
          <w:bCs/>
          <w:sz w:val="24"/>
        </w:rPr>
        <w:t>年。</w:t>
      </w:r>
    </w:p>
    <w:p>
      <w:pPr>
        <w:spacing w:line="360" w:lineRule="auto"/>
        <w:ind w:firstLine="480" w:firstLineChars="200"/>
        <w:rPr>
          <w:rFonts w:ascii="宋体" w:hAnsi="宋体"/>
          <w:sz w:val="24"/>
        </w:rPr>
      </w:pPr>
      <w:r>
        <w:rPr>
          <w:rFonts w:hint="eastAsia" w:ascii="宋体" w:hAnsi="宋体"/>
          <w:sz w:val="24"/>
        </w:rPr>
        <w:t>（七）信息披露文件的存放与查阅</w:t>
      </w:r>
    </w:p>
    <w:p>
      <w:pPr>
        <w:spacing w:line="360" w:lineRule="auto"/>
        <w:ind w:firstLine="480" w:firstLineChars="200"/>
        <w:rPr>
          <w:rFonts w:ascii="宋体" w:hAnsi="宋体"/>
          <w:sz w:val="24"/>
        </w:rPr>
      </w:pPr>
      <w:r>
        <w:rPr>
          <w:rFonts w:hint="eastAsia" w:ascii="宋体" w:hAnsi="宋体"/>
          <w:sz w:val="24"/>
        </w:rPr>
        <w:t>招募说明书公布后，应当分别置备于基金管理人、基金托管人和基金销售机构的住所，以供公众查阅、复制。</w:t>
      </w:r>
    </w:p>
    <w:p>
      <w:pPr>
        <w:spacing w:line="360" w:lineRule="auto"/>
        <w:ind w:firstLine="480" w:firstLineChars="200"/>
        <w:rPr>
          <w:rFonts w:ascii="宋体" w:hAnsi="宋体"/>
          <w:sz w:val="24"/>
        </w:rPr>
      </w:pPr>
      <w:r>
        <w:rPr>
          <w:rFonts w:hint="eastAsia" w:ascii="宋体" w:hAnsi="宋体"/>
          <w:sz w:val="24"/>
        </w:rPr>
        <w:t>基金定期报告公布后，应当分别置备于基金管理人和基金托管人的住所，以供公众查阅、复制。</w:t>
      </w:r>
    </w:p>
    <w:p>
      <w:pPr>
        <w:spacing w:line="360" w:lineRule="auto"/>
        <w:ind w:firstLine="480" w:firstLineChars="200"/>
        <w:rPr>
          <w:bCs/>
          <w:sz w:val="24"/>
        </w:rPr>
      </w:pPr>
      <w:r>
        <w:rPr>
          <w:rFonts w:hint="eastAsia"/>
          <w:bCs/>
          <w:sz w:val="24"/>
        </w:rPr>
        <w:t>（八</w:t>
      </w:r>
      <w:r>
        <w:rPr>
          <w:bCs/>
          <w:sz w:val="24"/>
        </w:rPr>
        <w:t>）</w:t>
      </w:r>
      <w:r>
        <w:rPr>
          <w:rFonts w:hint="eastAsia"/>
          <w:bCs/>
          <w:sz w:val="24"/>
        </w:rPr>
        <w:t>暂停或延迟信息披露的情形</w:t>
      </w:r>
    </w:p>
    <w:p>
      <w:pPr>
        <w:spacing w:line="360" w:lineRule="auto"/>
        <w:ind w:firstLine="480" w:firstLineChars="200"/>
        <w:rPr>
          <w:bCs/>
          <w:sz w:val="24"/>
        </w:rPr>
      </w:pPr>
      <w:r>
        <w:rPr>
          <w:rFonts w:hint="eastAsia"/>
          <w:bCs/>
          <w:sz w:val="24"/>
        </w:rPr>
        <w:t>1、基金投资所涉及的证券交易所遇法定节假日或因其他原因暂停营业时；</w:t>
      </w:r>
    </w:p>
    <w:p>
      <w:pPr>
        <w:spacing w:line="360" w:lineRule="auto"/>
        <w:ind w:firstLine="480" w:firstLineChars="200"/>
        <w:rPr>
          <w:bCs/>
          <w:sz w:val="24"/>
        </w:rPr>
      </w:pPr>
      <w:r>
        <w:rPr>
          <w:rFonts w:hint="eastAsia"/>
          <w:bCs/>
          <w:sz w:val="24"/>
        </w:rPr>
        <w:t>2、发生暂停估值的情形；</w:t>
      </w:r>
    </w:p>
    <w:p>
      <w:pPr>
        <w:spacing w:line="360" w:lineRule="auto"/>
        <w:ind w:firstLine="480" w:firstLineChars="200"/>
        <w:rPr>
          <w:bCs/>
          <w:sz w:val="24"/>
        </w:rPr>
      </w:pPr>
      <w:r>
        <w:rPr>
          <w:rFonts w:hint="eastAsia"/>
          <w:bCs/>
          <w:sz w:val="24"/>
        </w:rPr>
        <w:t>3、法律法规规定、中国证监会或基金合同认定的其他情形。</w:t>
      </w:r>
    </w:p>
    <w:p>
      <w:pPr>
        <w:spacing w:line="360" w:lineRule="auto"/>
        <w:rPr>
          <w:bCs/>
          <w:sz w:val="24"/>
        </w:rPr>
      </w:pPr>
    </w:p>
    <w:p>
      <w:pPr>
        <w:pStyle w:val="2"/>
        <w:spacing w:before="120" w:beforeLines="50" w:after="120" w:afterLines="50" w:line="360" w:lineRule="auto"/>
        <w:ind w:firstLine="420"/>
        <w:jc w:val="center"/>
        <w:rPr>
          <w:rFonts w:ascii="宋体" w:hAnsi="宋体"/>
          <w:color w:val="000000"/>
          <w:kern w:val="0"/>
          <w:sz w:val="24"/>
          <w:szCs w:val="24"/>
        </w:rPr>
        <w:sectPr>
          <w:pgSz w:w="12240" w:h="15840"/>
          <w:pgMar w:top="1440" w:right="1800" w:bottom="1440" w:left="1800" w:header="720" w:footer="720" w:gutter="0"/>
          <w:cols w:space="720" w:num="1"/>
          <w:docGrid w:linePitch="286" w:charSpace="0"/>
        </w:sectPr>
      </w:pPr>
    </w:p>
    <w:p>
      <w:pPr>
        <w:pStyle w:val="2"/>
        <w:spacing w:line="360" w:lineRule="auto"/>
        <w:jc w:val="center"/>
        <w:rPr>
          <w:rFonts w:ascii="宋体" w:hAnsi="宋体"/>
          <w:color w:val="000000"/>
          <w:kern w:val="0"/>
          <w:sz w:val="24"/>
          <w:szCs w:val="24"/>
        </w:rPr>
      </w:pPr>
      <w:bookmarkStart w:id="117" w:name="_Toc31843"/>
      <w:bookmarkStart w:id="118" w:name="_Toc482624805"/>
      <w:bookmarkStart w:id="119" w:name="_Toc3467"/>
      <w:r>
        <w:rPr>
          <w:rFonts w:hint="eastAsia" w:ascii="宋体" w:hAnsi="宋体"/>
          <w:color w:val="000000"/>
          <w:kern w:val="0"/>
          <w:sz w:val="24"/>
          <w:szCs w:val="24"/>
        </w:rPr>
        <w:t>第十六部分  基金的风险揭示</w:t>
      </w:r>
      <w:bookmarkEnd w:id="117"/>
      <w:bookmarkEnd w:id="118"/>
      <w:bookmarkEnd w:id="119"/>
    </w:p>
    <w:p>
      <w:pPr>
        <w:spacing w:line="360" w:lineRule="auto"/>
        <w:ind w:firstLine="480" w:firstLineChars="200"/>
        <w:rPr>
          <w:rFonts w:ascii="宋体" w:hAnsi="宋体"/>
          <w:sz w:val="24"/>
        </w:rPr>
      </w:pPr>
      <w:r>
        <w:rPr>
          <w:rFonts w:hint="eastAsia" w:ascii="宋体" w:hAnsi="宋体"/>
          <w:sz w:val="24"/>
        </w:rPr>
        <w:t>本基金的风险主要包括：市场风险、信用风险、管理风险、流动性风险、操作和技术风险、合规性风险、本基金特有的风险及其他风险。本基金本着科学、严谨的原则，对风险的识别、评估和控制的全过程进行管理。</w:t>
      </w:r>
    </w:p>
    <w:p>
      <w:pPr>
        <w:numPr>
          <w:ilvl w:val="0"/>
          <w:numId w:val="6"/>
        </w:numPr>
        <w:spacing w:line="360" w:lineRule="auto"/>
        <w:rPr>
          <w:rFonts w:ascii="宋体" w:hAnsi="宋体"/>
          <w:sz w:val="24"/>
        </w:rPr>
      </w:pPr>
      <w:r>
        <w:rPr>
          <w:rFonts w:hint="eastAsia" w:ascii="宋体" w:hAnsi="宋体"/>
          <w:sz w:val="24"/>
        </w:rPr>
        <w:t xml:space="preserve">市场风险 </w:t>
      </w:r>
    </w:p>
    <w:p>
      <w:pPr>
        <w:spacing w:line="360" w:lineRule="auto"/>
        <w:ind w:firstLine="424" w:firstLineChars="177"/>
        <w:rPr>
          <w:rFonts w:ascii="宋体" w:hAnsi="宋体"/>
          <w:sz w:val="24"/>
        </w:rPr>
      </w:pPr>
      <w:r>
        <w:rPr>
          <w:rFonts w:hint="eastAsia" w:ascii="宋体" w:hAnsi="宋体"/>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pPr>
        <w:spacing w:line="360" w:lineRule="auto"/>
        <w:ind w:firstLine="424" w:firstLineChars="177"/>
        <w:rPr>
          <w:rFonts w:ascii="宋体" w:hAnsi="宋体"/>
          <w:sz w:val="24"/>
        </w:rPr>
      </w:pPr>
      <w:r>
        <w:rPr>
          <w:rFonts w:hint="eastAsia" w:ascii="宋体" w:hAnsi="宋体"/>
          <w:sz w:val="24"/>
        </w:rPr>
        <w:t>1、政策风险因财政政策、货币政策、产业政策、地区发展政策等国家宏观政策发生变化，导致市场价格波动，影响基金收益而产生风险。</w:t>
      </w:r>
    </w:p>
    <w:p>
      <w:pPr>
        <w:spacing w:line="360" w:lineRule="auto"/>
        <w:ind w:firstLine="424" w:firstLineChars="177"/>
        <w:rPr>
          <w:rFonts w:ascii="宋体" w:hAnsi="宋体"/>
          <w:sz w:val="24"/>
        </w:rPr>
      </w:pPr>
      <w:r>
        <w:rPr>
          <w:rFonts w:hint="eastAsia" w:ascii="宋体" w:hAnsi="宋体"/>
          <w:sz w:val="24"/>
        </w:rPr>
        <w:t>2、经济周期风险随着经济运行的周期性变化，证券市场的收益水平也呈周期性变化，基金投资的收益水平也会随之变化，从而产生风险。</w:t>
      </w:r>
    </w:p>
    <w:p>
      <w:pPr>
        <w:spacing w:line="360" w:lineRule="auto"/>
        <w:ind w:firstLine="424" w:firstLineChars="177"/>
        <w:rPr>
          <w:rFonts w:ascii="宋体" w:hAnsi="宋体"/>
          <w:sz w:val="24"/>
        </w:rPr>
      </w:pPr>
      <w:r>
        <w:rPr>
          <w:rFonts w:hint="eastAsia" w:ascii="宋体" w:hAnsi="宋体"/>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pPr>
        <w:spacing w:line="360" w:lineRule="auto"/>
        <w:ind w:firstLine="424" w:firstLineChars="177"/>
        <w:rPr>
          <w:rFonts w:ascii="宋体" w:hAnsi="宋体"/>
          <w:sz w:val="24"/>
        </w:rPr>
      </w:pPr>
      <w:r>
        <w:rPr>
          <w:rFonts w:hint="eastAsia" w:ascii="宋体" w:hAnsi="宋体"/>
          <w:sz w:val="24"/>
        </w:rPr>
        <w:t>4、通货膨胀风险基金投资的目的是基金资产的保值增值，如果发生通货膨胀，基金投资于证券所获得的收益可能会被通货膨胀抵消，从而影响基金资产的保值增值。</w:t>
      </w:r>
    </w:p>
    <w:p>
      <w:pPr>
        <w:spacing w:line="360" w:lineRule="auto"/>
        <w:ind w:firstLine="424" w:firstLineChars="177"/>
        <w:rPr>
          <w:rFonts w:ascii="宋体" w:hAnsi="宋体"/>
          <w:sz w:val="24"/>
        </w:rPr>
      </w:pPr>
      <w:r>
        <w:rPr>
          <w:rFonts w:hint="eastAsia" w:ascii="宋体" w:hAnsi="宋体"/>
          <w:sz w:val="24"/>
        </w:rPr>
        <w:t>5、债券收益率曲线变动的风险债券收益率曲线变动风险是指与收益率曲线非平行移动有关的风险，单一的久期指标并不能充分反映这一风险的存在。</w:t>
      </w:r>
    </w:p>
    <w:p>
      <w:pPr>
        <w:spacing w:line="360" w:lineRule="auto"/>
        <w:ind w:firstLine="424" w:firstLineChars="177"/>
        <w:rPr>
          <w:rFonts w:ascii="宋体" w:hAnsi="宋体"/>
          <w:sz w:val="24"/>
        </w:rPr>
      </w:pPr>
      <w:r>
        <w:rPr>
          <w:rFonts w:hint="eastAsia" w:ascii="宋体" w:hAnsi="宋体"/>
          <w:sz w:val="24"/>
        </w:rPr>
        <w:t>6、再投资风险市场利率下降将影响固定收益类证券利息收入的再投资收益率，这与利率上升所带来的价格风险互为消长。</w:t>
      </w:r>
    </w:p>
    <w:p>
      <w:pPr>
        <w:numPr>
          <w:ilvl w:val="0"/>
          <w:numId w:val="6"/>
        </w:numPr>
        <w:spacing w:line="360" w:lineRule="auto"/>
        <w:rPr>
          <w:rFonts w:ascii="宋体" w:hAnsi="宋体"/>
          <w:sz w:val="24"/>
        </w:rPr>
      </w:pPr>
      <w:r>
        <w:rPr>
          <w:rFonts w:hint="eastAsia" w:ascii="宋体" w:hAnsi="宋体"/>
          <w:sz w:val="24"/>
        </w:rPr>
        <w:t xml:space="preserve">信用风险 </w:t>
      </w:r>
    </w:p>
    <w:p>
      <w:pPr>
        <w:spacing w:line="360" w:lineRule="auto"/>
        <w:ind w:firstLine="424" w:firstLineChars="177"/>
        <w:rPr>
          <w:rFonts w:ascii="宋体" w:hAnsi="宋体"/>
          <w:sz w:val="24"/>
        </w:rPr>
      </w:pPr>
      <w:r>
        <w:rPr>
          <w:rFonts w:hint="eastAsia" w:ascii="宋体" w:hAnsi="宋体"/>
          <w:sz w:val="24"/>
        </w:rPr>
        <w:t xml:space="preserve">信用风险主要指债券、资产支持证券、短期融资券等信用证券发行主体信用状况恶化， 到期不能履行合约进行兑付的风险，另外，信用风险也包括证券交易对手因违约而产生的证券交割风险。 </w:t>
      </w:r>
    </w:p>
    <w:p>
      <w:pPr>
        <w:numPr>
          <w:ilvl w:val="0"/>
          <w:numId w:val="6"/>
        </w:numPr>
        <w:spacing w:line="360" w:lineRule="auto"/>
        <w:rPr>
          <w:rFonts w:ascii="宋体" w:hAnsi="宋体"/>
          <w:sz w:val="24"/>
        </w:rPr>
      </w:pPr>
      <w:r>
        <w:rPr>
          <w:rFonts w:hint="eastAsia" w:ascii="宋体" w:hAnsi="宋体"/>
          <w:sz w:val="24"/>
        </w:rPr>
        <w:t xml:space="preserve">流动性风险 </w:t>
      </w:r>
    </w:p>
    <w:p>
      <w:pPr>
        <w:spacing w:line="360" w:lineRule="auto"/>
        <w:ind w:firstLine="424" w:firstLineChars="177"/>
        <w:rPr>
          <w:rFonts w:ascii="宋体" w:hAnsi="宋体"/>
          <w:sz w:val="24"/>
        </w:rPr>
      </w:pPr>
      <w:r>
        <w:rPr>
          <w:rFonts w:hint="eastAsia" w:ascii="宋体" w:hAnsi="宋体"/>
          <w:sz w:val="24"/>
        </w:rPr>
        <w:t>流动性风险是指因证券市场交易量不足，导致证券不能迅速、低成本地变现的风险。流动性风险还包括基金出现巨额赎回，致使没有足够的现金应付赎回支付所引致的风险。</w:t>
      </w:r>
    </w:p>
    <w:p>
      <w:pPr>
        <w:numPr>
          <w:ilvl w:val="0"/>
          <w:numId w:val="6"/>
        </w:numPr>
        <w:spacing w:line="360" w:lineRule="auto"/>
        <w:rPr>
          <w:rFonts w:ascii="宋体" w:hAnsi="宋体"/>
          <w:sz w:val="24"/>
        </w:rPr>
      </w:pPr>
      <w:r>
        <w:rPr>
          <w:rFonts w:hint="eastAsia" w:ascii="宋体" w:hAnsi="宋体"/>
          <w:sz w:val="24"/>
        </w:rPr>
        <w:t xml:space="preserve">操作风险 </w:t>
      </w:r>
    </w:p>
    <w:p>
      <w:pPr>
        <w:spacing w:line="360" w:lineRule="auto"/>
        <w:ind w:firstLine="424" w:firstLineChars="177"/>
        <w:rPr>
          <w:rFonts w:ascii="宋体" w:hAnsi="宋体"/>
          <w:sz w:val="24"/>
        </w:rPr>
      </w:pPr>
      <w:r>
        <w:rPr>
          <w:rFonts w:hint="eastAsia" w:ascii="宋体" w:hAnsi="宋体"/>
          <w:sz w:val="24"/>
        </w:rPr>
        <w:t xml:space="preserve">操作风险是指基金运作过程中，因内部控制存在缺陷或者人为因素造成操作失误或违反操作规程等引致的风险，例如，越权违规交易、会计部门欺诈、交易错误、IT系统故障等风险。 </w:t>
      </w:r>
    </w:p>
    <w:p>
      <w:pPr>
        <w:numPr>
          <w:ilvl w:val="0"/>
          <w:numId w:val="6"/>
        </w:numPr>
        <w:spacing w:line="360" w:lineRule="auto"/>
        <w:rPr>
          <w:rFonts w:ascii="宋体" w:hAnsi="宋体"/>
          <w:sz w:val="24"/>
        </w:rPr>
      </w:pPr>
      <w:r>
        <w:rPr>
          <w:rFonts w:hint="eastAsia" w:ascii="宋体" w:hAnsi="宋体"/>
          <w:sz w:val="24"/>
        </w:rPr>
        <w:t>管理风险</w:t>
      </w:r>
    </w:p>
    <w:p>
      <w:pPr>
        <w:spacing w:line="360" w:lineRule="auto"/>
        <w:ind w:firstLine="424" w:firstLineChars="177"/>
        <w:rPr>
          <w:rFonts w:ascii="宋体" w:hAnsi="宋体"/>
          <w:sz w:val="24"/>
        </w:rPr>
      </w:pPr>
      <w:r>
        <w:rPr>
          <w:rFonts w:hint="eastAsia" w:ascii="宋体" w:hAnsi="宋体"/>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pPr>
        <w:numPr>
          <w:ilvl w:val="0"/>
          <w:numId w:val="6"/>
        </w:numPr>
        <w:spacing w:line="360" w:lineRule="auto"/>
        <w:rPr>
          <w:rFonts w:ascii="宋体" w:hAnsi="宋体"/>
          <w:sz w:val="24"/>
        </w:rPr>
      </w:pPr>
      <w:r>
        <w:rPr>
          <w:rFonts w:hint="eastAsia" w:ascii="宋体" w:hAnsi="宋体"/>
          <w:sz w:val="24"/>
        </w:rPr>
        <w:t xml:space="preserve">合规性风险 </w:t>
      </w:r>
    </w:p>
    <w:p>
      <w:pPr>
        <w:spacing w:line="360" w:lineRule="auto"/>
        <w:ind w:firstLine="424" w:firstLineChars="177"/>
        <w:rPr>
          <w:rFonts w:ascii="宋体" w:hAnsi="宋体"/>
          <w:sz w:val="24"/>
        </w:rPr>
      </w:pPr>
      <w:r>
        <w:rPr>
          <w:rFonts w:hint="eastAsia" w:ascii="宋体" w:hAnsi="宋体"/>
          <w:sz w:val="24"/>
        </w:rPr>
        <w:t>合规风险指基金管理或运作过程中，违反国家法律、法规的规定，或者违反基金合同有关规定的风险。</w:t>
      </w:r>
    </w:p>
    <w:p>
      <w:pPr>
        <w:numPr>
          <w:ilvl w:val="0"/>
          <w:numId w:val="6"/>
        </w:numPr>
        <w:spacing w:line="360" w:lineRule="auto"/>
        <w:rPr>
          <w:rFonts w:ascii="宋体" w:hAnsi="宋体"/>
          <w:sz w:val="24"/>
        </w:rPr>
      </w:pPr>
      <w:r>
        <w:rPr>
          <w:rFonts w:hint="eastAsia" w:ascii="宋体" w:hAnsi="宋体"/>
          <w:sz w:val="24"/>
        </w:rPr>
        <w:t>本基金的特有风险</w:t>
      </w:r>
    </w:p>
    <w:p>
      <w:pPr>
        <w:spacing w:line="360" w:lineRule="auto"/>
        <w:ind w:firstLine="424" w:firstLineChars="177"/>
        <w:rPr>
          <w:rFonts w:ascii="宋体" w:hAnsi="宋体"/>
          <w:sz w:val="24"/>
        </w:rPr>
      </w:pPr>
      <w:r>
        <w:rPr>
          <w:rFonts w:hint="eastAsia" w:ascii="宋体" w:hAnsi="宋体"/>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pPr>
        <w:numPr>
          <w:ilvl w:val="0"/>
          <w:numId w:val="6"/>
        </w:numPr>
        <w:spacing w:line="360" w:lineRule="auto"/>
        <w:rPr>
          <w:rFonts w:ascii="宋体" w:hAnsi="宋体"/>
          <w:sz w:val="24"/>
        </w:rPr>
      </w:pPr>
      <w:r>
        <w:rPr>
          <w:rFonts w:hint="eastAsia" w:ascii="宋体" w:hAnsi="宋体"/>
          <w:sz w:val="24"/>
        </w:rPr>
        <w:t xml:space="preserve">其它风险 </w:t>
      </w:r>
    </w:p>
    <w:p>
      <w:pPr>
        <w:spacing w:line="360" w:lineRule="auto"/>
        <w:ind w:firstLine="424" w:firstLineChars="177"/>
        <w:rPr>
          <w:rFonts w:ascii="宋体" w:hAnsi="宋体"/>
          <w:sz w:val="24"/>
        </w:rPr>
      </w:pPr>
      <w:r>
        <w:rPr>
          <w:rFonts w:hint="eastAsia" w:ascii="宋体" w:hAnsi="宋体"/>
          <w:sz w:val="24"/>
        </w:rPr>
        <w:t xml:space="preserve">1、在符合本基金投资理念的新型投资工具出现和发展后，如果投资于这些工具，基金可能会面临一些特殊的风险； </w:t>
      </w:r>
    </w:p>
    <w:p>
      <w:pPr>
        <w:spacing w:line="360" w:lineRule="auto"/>
        <w:ind w:firstLine="424" w:firstLineChars="177"/>
        <w:rPr>
          <w:rFonts w:ascii="宋体" w:hAnsi="宋体"/>
          <w:sz w:val="24"/>
        </w:rPr>
      </w:pPr>
      <w:r>
        <w:rPr>
          <w:rFonts w:hint="eastAsia" w:ascii="宋体" w:hAnsi="宋体"/>
          <w:sz w:val="24"/>
        </w:rPr>
        <w:t xml:space="preserve">2、因技术因素而产生的风险，如计算机系统不可靠产生的风险； </w:t>
      </w:r>
    </w:p>
    <w:p>
      <w:pPr>
        <w:spacing w:line="360" w:lineRule="auto"/>
        <w:ind w:firstLine="424" w:firstLineChars="177"/>
        <w:rPr>
          <w:rFonts w:ascii="宋体" w:hAnsi="宋体"/>
          <w:sz w:val="24"/>
        </w:rPr>
      </w:pPr>
      <w:r>
        <w:rPr>
          <w:rFonts w:hint="eastAsia" w:ascii="宋体" w:hAnsi="宋体"/>
          <w:sz w:val="24"/>
        </w:rPr>
        <w:t xml:space="preserve">3、因基金业务快速发展而在制度建设、人员配备、内控制度建立等方面不完善而产生的风险； </w:t>
      </w:r>
    </w:p>
    <w:p>
      <w:pPr>
        <w:spacing w:line="360" w:lineRule="auto"/>
        <w:ind w:firstLine="424" w:firstLineChars="177"/>
        <w:rPr>
          <w:rFonts w:ascii="宋体" w:hAnsi="宋体"/>
          <w:sz w:val="24"/>
        </w:rPr>
      </w:pPr>
      <w:r>
        <w:rPr>
          <w:rFonts w:hint="eastAsia" w:ascii="宋体" w:hAnsi="宋体"/>
          <w:sz w:val="24"/>
        </w:rPr>
        <w:t>4、因人为因素而产生的风险，如内幕交易、欺诈行为等产生的风险；</w:t>
      </w:r>
    </w:p>
    <w:p>
      <w:pPr>
        <w:spacing w:line="360" w:lineRule="auto"/>
        <w:ind w:firstLine="480" w:firstLineChars="200"/>
        <w:rPr>
          <w:rFonts w:ascii="宋体" w:hAnsi="宋体"/>
          <w:sz w:val="24"/>
        </w:rPr>
      </w:pPr>
      <w:r>
        <w:rPr>
          <w:rFonts w:hint="eastAsia" w:ascii="宋体" w:hAnsi="宋体"/>
          <w:sz w:val="24"/>
        </w:rPr>
        <w:t xml:space="preserve">5、对主要业务人员如基金经理的依赖可能产生的风险； </w:t>
      </w:r>
    </w:p>
    <w:p>
      <w:pPr>
        <w:spacing w:line="360" w:lineRule="auto"/>
        <w:ind w:firstLine="480" w:firstLineChars="200"/>
        <w:rPr>
          <w:rFonts w:ascii="宋体" w:hAnsi="宋体"/>
          <w:sz w:val="24"/>
        </w:rPr>
      </w:pPr>
      <w:r>
        <w:rPr>
          <w:rFonts w:hint="eastAsia" w:ascii="宋体" w:hAnsi="宋体"/>
          <w:sz w:val="24"/>
        </w:rPr>
        <w:t xml:space="preserve">6、战争、自然灾害等不可抗力可能导致基金资产的损失，影响基金收益水平，从而带来风险； </w:t>
      </w:r>
    </w:p>
    <w:p>
      <w:pPr>
        <w:spacing w:line="360" w:lineRule="auto"/>
        <w:ind w:firstLine="480" w:firstLineChars="200"/>
        <w:rPr>
          <w:rFonts w:ascii="宋体" w:hAnsi="宋体"/>
          <w:sz w:val="24"/>
        </w:rPr>
      </w:pPr>
      <w:r>
        <w:rPr>
          <w:rFonts w:hint="eastAsia" w:ascii="宋体" w:hAnsi="宋体"/>
          <w:sz w:val="24"/>
        </w:rPr>
        <w:t>7、其他意外导致的风险。</w:t>
      </w:r>
    </w:p>
    <w:p>
      <w:pPr>
        <w:pStyle w:val="2"/>
        <w:spacing w:before="120" w:beforeLines="50" w:after="120" w:afterLines="50" w:line="360" w:lineRule="auto"/>
        <w:ind w:firstLine="420"/>
        <w:jc w:val="center"/>
        <w:rPr>
          <w:rFonts w:ascii="宋体" w:hAnsi="宋体"/>
          <w:color w:val="000000"/>
          <w:kern w:val="0"/>
          <w:sz w:val="24"/>
          <w:szCs w:val="24"/>
        </w:rPr>
        <w:sectPr>
          <w:pgSz w:w="12240" w:h="15840"/>
          <w:pgMar w:top="1440" w:right="1800" w:bottom="1440" w:left="1800" w:header="720" w:footer="720" w:gutter="0"/>
          <w:cols w:space="720" w:num="1"/>
          <w:docGrid w:linePitch="286" w:charSpace="0"/>
        </w:sectPr>
      </w:pPr>
      <w:bookmarkStart w:id="120" w:name="_Toc256666805"/>
      <w:bookmarkStart w:id="121" w:name="_Toc256666925"/>
    </w:p>
    <w:p>
      <w:pPr>
        <w:pStyle w:val="2"/>
        <w:spacing w:line="360" w:lineRule="auto"/>
        <w:jc w:val="center"/>
        <w:rPr>
          <w:rFonts w:ascii="宋体" w:hAnsi="宋体"/>
          <w:color w:val="000000"/>
          <w:kern w:val="0"/>
          <w:sz w:val="24"/>
          <w:szCs w:val="24"/>
        </w:rPr>
      </w:pPr>
      <w:bookmarkStart w:id="122" w:name="_Toc482624806"/>
      <w:bookmarkStart w:id="123" w:name="_Toc4507"/>
      <w:bookmarkStart w:id="124" w:name="_Toc23741"/>
      <w:r>
        <w:rPr>
          <w:rFonts w:hint="eastAsia" w:ascii="宋体" w:hAnsi="宋体"/>
          <w:color w:val="000000"/>
          <w:kern w:val="0"/>
          <w:sz w:val="24"/>
          <w:szCs w:val="24"/>
        </w:rPr>
        <w:t>第十七部分  基金合同的变更、终止与基金财产的清算</w:t>
      </w:r>
      <w:bookmarkEnd w:id="120"/>
      <w:bookmarkEnd w:id="121"/>
      <w:bookmarkEnd w:id="122"/>
      <w:bookmarkEnd w:id="123"/>
      <w:bookmarkEnd w:id="124"/>
    </w:p>
    <w:p>
      <w:pPr>
        <w:spacing w:line="360" w:lineRule="auto"/>
        <w:ind w:firstLine="480" w:firstLineChars="200"/>
        <w:rPr>
          <w:rFonts w:ascii="宋体" w:hAnsi="宋体"/>
          <w:color w:val="000000"/>
          <w:kern w:val="0"/>
          <w:sz w:val="24"/>
        </w:rPr>
      </w:pPr>
      <w:bookmarkStart w:id="125" w:name="_Toc88969313"/>
      <w:r>
        <w:rPr>
          <w:rFonts w:hint="eastAsia" w:ascii="宋体" w:hAnsi="宋体"/>
          <w:color w:val="000000"/>
          <w:kern w:val="0"/>
          <w:sz w:val="24"/>
        </w:rPr>
        <w:t>（一）《基金合同》的变更</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pPr>
        <w:spacing w:line="360" w:lineRule="auto"/>
        <w:ind w:firstLine="480" w:firstLineChars="200"/>
        <w:rPr>
          <w:rFonts w:ascii="宋体" w:hAnsi="宋体"/>
          <w:color w:val="000000"/>
          <w:kern w:val="0"/>
          <w:sz w:val="24"/>
        </w:rPr>
      </w:pPr>
      <w:r>
        <w:rPr>
          <w:bCs/>
          <w:sz w:val="24"/>
        </w:rPr>
        <w:t>2、</w:t>
      </w:r>
      <w:r>
        <w:rPr>
          <w:rFonts w:hint="eastAsia"/>
          <w:bCs/>
          <w:sz w:val="24"/>
        </w:rPr>
        <w:t>关于《基金合同》变更的基金份额持有人大会决议自生效后方可执行，决议生效后依照《信息披露办法》的有关规定在指定媒介公告</w:t>
      </w:r>
      <w:r>
        <w:rPr>
          <w:bCs/>
          <w:sz w:val="24"/>
        </w:rPr>
        <w:t>。</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（二）基金合同的终止事由</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有下列情形之一的，《基金合同》应当终止：</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1、基金份额持有人大会决定终止的；</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2、基金管理人、基金托管人职责终止，在6个月内没有新基金管理人、新基金托管人承接的；</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3、《基金合同》约定的其他情形；</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4、相关法律法规和中国证监会规定的其他情况。</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（三）基金财产的清算</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1、基金财产清算小组：自出现《基金合同》终止事由之日起30个工作日内成立清算小组，基金管理人组织基金财产清算小组并在中国证监会的监督下进行基金清算。</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3、基金财产清算小组职责：基金财产清算小组负责基金财产的保管、清理、估价、变现和分配。基金财产清算小组可以依法进行必要的民事活动。</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4、基金财产清算程序：</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（1）《基金合同》终止情形出现时，由基金财产清算小组统一接管基金；</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（2）对基金财产和债权债务进行清理和确认；</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（3）对基金财产进行估值和变现；</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（4）制作清算报告；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（5）聘请会计师事务所对清算报告进行外部审计，聘请律师事务所对清算报告出具法律意见书；</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（6）将清算报告报中国证监会备案并公告；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（7）对基金剩余财产进行分配。</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5、基金财产清算的期限为6个月，但因本基金所持证券的流动性受到限制而不能及时变现的，清算期限相应顺延。</w:t>
      </w:r>
    </w:p>
    <w:p>
      <w:pPr>
        <w:spacing w:line="360" w:lineRule="auto"/>
        <w:ind w:firstLine="480" w:firstLineChars="200"/>
        <w:rPr>
          <w:bCs/>
          <w:sz w:val="24"/>
        </w:rPr>
      </w:pPr>
      <w:r>
        <w:rPr>
          <w:rFonts w:hint="eastAsia" w:ascii="宋体" w:hAnsi="宋体"/>
          <w:color w:val="000000"/>
          <w:kern w:val="0"/>
          <w:sz w:val="24"/>
        </w:rPr>
        <w:t>（</w:t>
      </w:r>
      <w:r>
        <w:rPr>
          <w:rFonts w:ascii="宋体" w:hAnsi="宋体"/>
          <w:color w:val="000000"/>
          <w:kern w:val="0"/>
          <w:sz w:val="24"/>
        </w:rPr>
        <w:t>四）</w:t>
      </w:r>
      <w:r>
        <w:rPr>
          <w:bCs/>
          <w:sz w:val="24"/>
        </w:rPr>
        <w:t>清算费用</w:t>
      </w:r>
    </w:p>
    <w:p>
      <w:pPr>
        <w:spacing w:line="360" w:lineRule="auto"/>
        <w:ind w:firstLine="480" w:firstLineChars="20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pPr>
        <w:spacing w:line="360" w:lineRule="auto"/>
        <w:ind w:firstLine="480" w:firstLineChars="200"/>
        <w:rPr>
          <w:bCs/>
          <w:sz w:val="24"/>
        </w:rPr>
      </w:pPr>
      <w:r>
        <w:rPr>
          <w:rFonts w:hint="eastAsia"/>
          <w:bCs/>
          <w:sz w:val="24"/>
        </w:rPr>
        <w:t>（五</w:t>
      </w:r>
      <w:r>
        <w:rPr>
          <w:bCs/>
          <w:sz w:val="24"/>
        </w:rPr>
        <w:t>）基金财产清算剩余资产的分配</w:t>
      </w:r>
    </w:p>
    <w:p>
      <w:pPr>
        <w:spacing w:line="360" w:lineRule="auto"/>
        <w:ind w:firstLine="480" w:firstLineChars="20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pPr>
        <w:spacing w:line="360" w:lineRule="auto"/>
        <w:ind w:firstLine="480" w:firstLineChars="200"/>
        <w:rPr>
          <w:bCs/>
          <w:sz w:val="24"/>
        </w:rPr>
      </w:pPr>
      <w:r>
        <w:rPr>
          <w:rFonts w:hint="eastAsia"/>
          <w:bCs/>
          <w:sz w:val="24"/>
        </w:rPr>
        <w:t>（</w:t>
      </w:r>
      <w:r>
        <w:rPr>
          <w:bCs/>
          <w:sz w:val="24"/>
        </w:rPr>
        <w:t>六）基金财产清算的公告</w:t>
      </w:r>
    </w:p>
    <w:p>
      <w:pPr>
        <w:spacing w:line="360" w:lineRule="auto"/>
        <w:ind w:firstLine="480" w:firstLineChars="200"/>
        <w:rPr>
          <w:bCs/>
          <w:sz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p>
      <w:pPr>
        <w:spacing w:line="360" w:lineRule="auto"/>
        <w:ind w:firstLine="480" w:firstLineChars="200"/>
        <w:rPr>
          <w:bCs/>
          <w:sz w:val="24"/>
        </w:rPr>
      </w:pPr>
      <w:r>
        <w:rPr>
          <w:rFonts w:hint="eastAsia"/>
          <w:bCs/>
          <w:sz w:val="24"/>
        </w:rPr>
        <w:t>（</w:t>
      </w:r>
      <w:r>
        <w:rPr>
          <w:bCs/>
          <w:sz w:val="24"/>
        </w:rPr>
        <w:t>七）基金财产清算账册及文件的保存</w:t>
      </w:r>
    </w:p>
    <w:p>
      <w:pPr>
        <w:spacing w:line="360" w:lineRule="auto"/>
        <w:ind w:firstLine="480" w:firstLineChars="200"/>
        <w:rPr>
          <w:rFonts w:ascii="宋体" w:hAnsi="宋体"/>
          <w:color w:val="000000"/>
          <w:kern w:val="0"/>
          <w:sz w:val="24"/>
        </w:rPr>
      </w:pPr>
      <w:r>
        <w:rPr>
          <w:bCs/>
          <w:sz w:val="24"/>
        </w:rPr>
        <w:t>基金财产清算账册及有关文件由基金托管人保存15年以上。</w:t>
      </w: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p>
      <w:pPr>
        <w:spacing w:line="360" w:lineRule="auto"/>
        <w:ind w:firstLine="480" w:firstLineChars="200"/>
        <w:rPr>
          <w:rFonts w:ascii="宋体" w:hAnsi="宋体"/>
          <w:color w:val="000000"/>
          <w:kern w:val="0"/>
          <w:sz w:val="24"/>
        </w:rPr>
      </w:pPr>
    </w:p>
    <w:bookmarkEnd w:id="125"/>
    <w:p>
      <w:pPr>
        <w:pStyle w:val="2"/>
        <w:spacing w:line="360" w:lineRule="auto"/>
        <w:jc w:val="center"/>
        <w:rPr>
          <w:rFonts w:ascii="宋体" w:hAnsi="宋体"/>
          <w:color w:val="000000"/>
          <w:kern w:val="0"/>
          <w:sz w:val="24"/>
          <w:szCs w:val="24"/>
        </w:rPr>
      </w:pPr>
      <w:bookmarkStart w:id="126" w:name="_Toc256666806"/>
      <w:bookmarkStart w:id="127" w:name="_Toc27351"/>
      <w:bookmarkStart w:id="128" w:name="_Toc482624807"/>
      <w:bookmarkStart w:id="129" w:name="_Toc256666926"/>
      <w:bookmarkStart w:id="130" w:name="_Toc3364"/>
      <w:r>
        <w:rPr>
          <w:rFonts w:hint="eastAsia" w:ascii="宋体" w:hAnsi="宋体"/>
          <w:color w:val="000000"/>
          <w:kern w:val="0"/>
          <w:sz w:val="24"/>
          <w:szCs w:val="24"/>
        </w:rPr>
        <w:t>第十八部分  基金合同的内容摘要</w:t>
      </w:r>
      <w:bookmarkEnd w:id="126"/>
      <w:bookmarkEnd w:id="127"/>
      <w:bookmarkEnd w:id="128"/>
      <w:bookmarkEnd w:id="129"/>
      <w:bookmarkEnd w:id="130"/>
    </w:p>
    <w:p>
      <w:pPr>
        <w:spacing w:line="360" w:lineRule="auto"/>
        <w:ind w:firstLine="480" w:firstLineChars="200"/>
        <w:rPr>
          <w:rFonts w:ascii="宋体" w:hAnsi="宋体"/>
          <w:bCs/>
          <w:sz w:val="24"/>
        </w:rPr>
      </w:pPr>
      <w:r>
        <w:rPr>
          <w:rFonts w:hint="eastAsia" w:ascii="宋体" w:hAnsi="宋体"/>
          <w:bCs/>
          <w:sz w:val="24"/>
        </w:rPr>
        <w:t>（一</w:t>
      </w:r>
      <w:r>
        <w:rPr>
          <w:rFonts w:ascii="宋体" w:hAnsi="宋体"/>
          <w:bCs/>
          <w:sz w:val="24"/>
        </w:rPr>
        <w:t>）</w:t>
      </w:r>
      <w:r>
        <w:rPr>
          <w:rFonts w:hint="eastAsia" w:ascii="宋体" w:hAnsi="宋体"/>
          <w:bCs/>
          <w:sz w:val="24"/>
        </w:rPr>
        <w:t>基金份额持有人、基金管理人和基金托管人的权利、义务</w:t>
      </w:r>
    </w:p>
    <w:p>
      <w:pPr>
        <w:spacing w:line="360" w:lineRule="auto"/>
        <w:ind w:firstLine="480" w:firstLineChars="200"/>
        <w:rPr>
          <w:bCs/>
          <w:sz w:val="24"/>
        </w:rPr>
      </w:pPr>
      <w:r>
        <w:rPr>
          <w:rFonts w:hint="eastAsia"/>
          <w:bCs/>
          <w:sz w:val="24"/>
        </w:rPr>
        <w:t>一</w:t>
      </w:r>
      <w:r>
        <w:rPr>
          <w:bCs/>
          <w:sz w:val="24"/>
        </w:rPr>
        <w:t>、</w:t>
      </w:r>
      <w:r>
        <w:rPr>
          <w:bCs/>
          <w:sz w:val="24"/>
        </w:rPr>
        <w:tab/>
      </w:r>
      <w:r>
        <w:rPr>
          <w:bCs/>
          <w:sz w:val="24"/>
        </w:rPr>
        <w:t>基金管理人的权利与义务</w:t>
      </w:r>
    </w:p>
    <w:p>
      <w:pPr>
        <w:spacing w:line="360" w:lineRule="auto"/>
        <w:ind w:firstLine="480" w:firstLineChars="200"/>
        <w:rPr>
          <w:bCs/>
          <w:sz w:val="24"/>
        </w:rPr>
      </w:pPr>
      <w:r>
        <w:rPr>
          <w:bCs/>
          <w:sz w:val="24"/>
        </w:rPr>
        <w:t>1、根据《基金法》、《运作办法》及其他有关规定，基金管理人的权利包括但不限于：</w:t>
      </w:r>
    </w:p>
    <w:p>
      <w:pPr>
        <w:spacing w:line="360" w:lineRule="auto"/>
        <w:ind w:firstLine="480" w:firstLineChars="200"/>
        <w:rPr>
          <w:bCs/>
          <w:sz w:val="24"/>
        </w:rPr>
      </w:pPr>
      <w:r>
        <w:rPr>
          <w:bCs/>
          <w:sz w:val="24"/>
        </w:rPr>
        <w:t>（1）依法募集基金；</w:t>
      </w:r>
    </w:p>
    <w:p>
      <w:pPr>
        <w:spacing w:line="360" w:lineRule="auto"/>
        <w:ind w:firstLine="480" w:firstLineChars="200"/>
        <w:rPr>
          <w:bCs/>
          <w:sz w:val="24"/>
        </w:rPr>
      </w:pPr>
      <w:r>
        <w:rPr>
          <w:bCs/>
          <w:sz w:val="24"/>
        </w:rPr>
        <w:t>（2）自《基金合同》生效之日起，根据法律法规和《基金合同》独立运用并管理基金财产；</w:t>
      </w:r>
    </w:p>
    <w:p>
      <w:pPr>
        <w:spacing w:line="360" w:lineRule="auto"/>
        <w:ind w:firstLine="480" w:firstLineChars="200"/>
        <w:rPr>
          <w:bCs/>
          <w:sz w:val="24"/>
        </w:rPr>
      </w:pPr>
      <w:r>
        <w:rPr>
          <w:bCs/>
          <w:sz w:val="24"/>
        </w:rPr>
        <w:t>（3）依照《基金合同》收取基金管理费以及法律法规规定或中国证监会批准的其他费用；</w:t>
      </w:r>
    </w:p>
    <w:p>
      <w:pPr>
        <w:spacing w:line="360" w:lineRule="auto"/>
        <w:ind w:firstLine="480" w:firstLineChars="200"/>
        <w:rPr>
          <w:bCs/>
          <w:sz w:val="24"/>
        </w:rPr>
      </w:pPr>
      <w:r>
        <w:rPr>
          <w:bCs/>
          <w:sz w:val="24"/>
        </w:rPr>
        <w:t>（4）销售基金份额；</w:t>
      </w:r>
    </w:p>
    <w:p>
      <w:pPr>
        <w:spacing w:line="360" w:lineRule="auto"/>
        <w:ind w:firstLine="480" w:firstLineChars="200"/>
        <w:rPr>
          <w:bCs/>
          <w:sz w:val="24"/>
        </w:rPr>
      </w:pPr>
      <w:r>
        <w:rPr>
          <w:bCs/>
          <w:sz w:val="24"/>
        </w:rPr>
        <w:t>（5）召集基金份额持有人大会；</w:t>
      </w:r>
    </w:p>
    <w:p>
      <w:pPr>
        <w:spacing w:line="360" w:lineRule="auto"/>
        <w:ind w:firstLine="480" w:firstLineChars="200"/>
        <w:rPr>
          <w:bCs/>
          <w:sz w:val="24"/>
        </w:rPr>
      </w:pPr>
      <w:r>
        <w:rPr>
          <w:bCs/>
          <w:sz w:val="24"/>
        </w:rPr>
        <w:t>（6）依据《基金合同》及有关法律规定监督基金托管人，如认为基金托管人违反了《基金合同》及国家有关法律规定，应呈报中国证监会和其他监管部门，并采取必要措施保护基金投资者的利益；</w:t>
      </w:r>
    </w:p>
    <w:p>
      <w:pPr>
        <w:spacing w:line="360" w:lineRule="auto"/>
        <w:ind w:firstLine="480" w:firstLineChars="200"/>
        <w:rPr>
          <w:bCs/>
          <w:sz w:val="24"/>
        </w:rPr>
      </w:pPr>
      <w:r>
        <w:rPr>
          <w:bCs/>
          <w:sz w:val="24"/>
        </w:rPr>
        <w:t>（7）在基金托管人更换时，提名新的基金托管人；</w:t>
      </w:r>
    </w:p>
    <w:p>
      <w:pPr>
        <w:spacing w:line="360" w:lineRule="auto"/>
        <w:ind w:firstLine="480" w:firstLineChars="200"/>
        <w:rPr>
          <w:bCs/>
          <w:sz w:val="24"/>
        </w:rPr>
      </w:pPr>
      <w:r>
        <w:rPr>
          <w:bCs/>
          <w:sz w:val="24"/>
        </w:rPr>
        <w:t>（8）选择、更换基金销售机构，对基金销售机构的相关行为进行监督和处理；</w:t>
      </w:r>
    </w:p>
    <w:p>
      <w:pPr>
        <w:spacing w:line="360" w:lineRule="auto"/>
        <w:ind w:firstLine="480" w:firstLineChars="200"/>
        <w:rPr>
          <w:bCs/>
          <w:sz w:val="24"/>
        </w:rPr>
      </w:pPr>
      <w:r>
        <w:rPr>
          <w:bCs/>
          <w:sz w:val="24"/>
        </w:rPr>
        <w:t>（9）担任或委托其他符合条件的机构担任基金登记机构办理基金登记业务并获得《基金合同》规定的费用；</w:t>
      </w:r>
    </w:p>
    <w:p>
      <w:pPr>
        <w:spacing w:line="360" w:lineRule="auto"/>
        <w:ind w:firstLine="480" w:firstLineChars="200"/>
        <w:rPr>
          <w:bCs/>
          <w:sz w:val="24"/>
        </w:rPr>
      </w:pPr>
      <w:r>
        <w:rPr>
          <w:bCs/>
          <w:sz w:val="24"/>
        </w:rPr>
        <w:t>（10）依据《基金合同》及有关法律规定决定基金收益的分配方案；</w:t>
      </w:r>
      <w:r>
        <w:rPr>
          <w:bCs/>
          <w:sz w:val="24"/>
        </w:rPr>
        <w:tab/>
      </w:r>
    </w:p>
    <w:p>
      <w:pPr>
        <w:spacing w:line="360" w:lineRule="auto"/>
        <w:ind w:firstLine="480" w:firstLineChars="200"/>
        <w:rPr>
          <w:bCs/>
          <w:sz w:val="24"/>
        </w:rPr>
      </w:pPr>
      <w:r>
        <w:rPr>
          <w:bCs/>
          <w:sz w:val="24"/>
        </w:rPr>
        <w:t>（11）在《基金合同》约定的范围内，拒绝或暂停受理申购与赎回申请；</w:t>
      </w:r>
    </w:p>
    <w:p>
      <w:pPr>
        <w:spacing w:line="360" w:lineRule="auto"/>
        <w:ind w:firstLine="480" w:firstLineChars="200"/>
        <w:rPr>
          <w:bCs/>
          <w:sz w:val="24"/>
        </w:rPr>
      </w:pPr>
      <w:r>
        <w:rPr>
          <w:bCs/>
          <w:sz w:val="24"/>
        </w:rPr>
        <w:t>（12）依照法律法规为基金的利益行使因基金财产投资于证券所产生的权利；</w:t>
      </w:r>
    </w:p>
    <w:p>
      <w:pPr>
        <w:spacing w:line="360" w:lineRule="auto"/>
        <w:ind w:firstLine="480" w:firstLineChars="200"/>
        <w:rPr>
          <w:bCs/>
          <w:sz w:val="24"/>
        </w:rPr>
      </w:pPr>
      <w:r>
        <w:rPr>
          <w:bCs/>
          <w:sz w:val="24"/>
        </w:rPr>
        <w:t>（13）在法律法规允许的前提下，为基金的利益依法为基金进行融资；</w:t>
      </w:r>
    </w:p>
    <w:p>
      <w:pPr>
        <w:spacing w:line="360" w:lineRule="auto"/>
        <w:ind w:firstLine="480" w:firstLineChars="200"/>
        <w:rPr>
          <w:bCs/>
          <w:sz w:val="24"/>
        </w:rPr>
      </w:pPr>
      <w:r>
        <w:rPr>
          <w:bCs/>
          <w:sz w:val="24"/>
        </w:rPr>
        <w:t>（14）以基金管理人的名义，代表基金份额持有人的利益行使诉讼权利或者实施其他法律行为；</w:t>
      </w:r>
      <w:r>
        <w:rPr>
          <w:bCs/>
          <w:sz w:val="24"/>
        </w:rPr>
        <w:tab/>
      </w:r>
    </w:p>
    <w:p>
      <w:pPr>
        <w:spacing w:line="360" w:lineRule="auto"/>
        <w:ind w:firstLine="480" w:firstLineChars="200"/>
        <w:rPr>
          <w:bCs/>
          <w:sz w:val="24"/>
        </w:rPr>
      </w:pPr>
      <w:r>
        <w:rPr>
          <w:bCs/>
          <w:sz w:val="24"/>
        </w:rPr>
        <w:t>（15）选择、更换律师事务所、会计师事务所、证券经纪商或其他为基金提供服务的外部机构；</w:t>
      </w:r>
      <w:r>
        <w:rPr>
          <w:bCs/>
          <w:sz w:val="24"/>
        </w:rPr>
        <w:tab/>
      </w:r>
    </w:p>
    <w:p>
      <w:pPr>
        <w:spacing w:line="360" w:lineRule="auto"/>
        <w:ind w:firstLine="480" w:firstLineChars="200"/>
        <w:rPr>
          <w:bCs/>
          <w:sz w:val="24"/>
        </w:rPr>
      </w:pPr>
      <w:r>
        <w:rPr>
          <w:bCs/>
          <w:sz w:val="24"/>
        </w:rPr>
        <w:t>（16）在符合有关法律、法规的前提下，制订和调整有关基金认购、申购、赎回、转换和非交易过户</w:t>
      </w:r>
      <w:r>
        <w:rPr>
          <w:rFonts w:hint="eastAsia"/>
          <w:bCs/>
          <w:sz w:val="24"/>
        </w:rPr>
        <w:t>等</w:t>
      </w:r>
      <w:r>
        <w:rPr>
          <w:bCs/>
          <w:sz w:val="24"/>
        </w:rPr>
        <w:t>业务规则；</w:t>
      </w:r>
    </w:p>
    <w:p>
      <w:pPr>
        <w:spacing w:line="360" w:lineRule="auto"/>
        <w:ind w:firstLine="480" w:firstLineChars="200"/>
        <w:rPr>
          <w:bCs/>
          <w:sz w:val="24"/>
        </w:rPr>
      </w:pPr>
      <w:r>
        <w:rPr>
          <w:bCs/>
          <w:sz w:val="24"/>
        </w:rPr>
        <w:t>（17）法律法规及中国证监会规定的和《基金合同》约定的其他权利。</w:t>
      </w:r>
    </w:p>
    <w:p>
      <w:pPr>
        <w:spacing w:line="440" w:lineRule="atLeast"/>
        <w:ind w:firstLine="480" w:firstLineChars="200"/>
        <w:rPr>
          <w:bCs/>
          <w:sz w:val="24"/>
        </w:rPr>
      </w:pPr>
      <w:r>
        <w:rPr>
          <w:bCs/>
          <w:sz w:val="24"/>
        </w:rPr>
        <w:t>2、根据《基金法》、《运作办法》及其他有关规定，基金管理人的义务包括但不限于：</w:t>
      </w:r>
    </w:p>
    <w:p>
      <w:pPr>
        <w:spacing w:line="440" w:lineRule="atLeast"/>
        <w:ind w:firstLine="480" w:firstLineChars="200"/>
        <w:rPr>
          <w:bCs/>
          <w:sz w:val="24"/>
        </w:rPr>
      </w:pPr>
      <w:r>
        <w:rPr>
          <w:bCs/>
          <w:sz w:val="24"/>
        </w:rPr>
        <w:t>（1）依法募集</w:t>
      </w:r>
      <w:r>
        <w:rPr>
          <w:rFonts w:hint="eastAsia"/>
          <w:bCs/>
          <w:sz w:val="24"/>
        </w:rPr>
        <w:t>资金</w:t>
      </w:r>
      <w:r>
        <w:rPr>
          <w:bCs/>
          <w:sz w:val="24"/>
        </w:rPr>
        <w:t>，办理基金份额的发售和登记事宜；</w:t>
      </w:r>
    </w:p>
    <w:p>
      <w:pPr>
        <w:spacing w:line="440" w:lineRule="atLeast"/>
        <w:ind w:firstLine="480" w:firstLineChars="200"/>
        <w:rPr>
          <w:bCs/>
          <w:sz w:val="24"/>
        </w:rPr>
      </w:pPr>
      <w:r>
        <w:rPr>
          <w:bCs/>
          <w:sz w:val="24"/>
        </w:rPr>
        <w:t>（2）办理基金备案手续；</w:t>
      </w:r>
    </w:p>
    <w:p>
      <w:pPr>
        <w:spacing w:line="440" w:lineRule="atLeast"/>
        <w:ind w:firstLine="480" w:firstLineChars="200"/>
        <w:rPr>
          <w:bCs/>
          <w:sz w:val="24"/>
        </w:rPr>
      </w:pPr>
      <w:r>
        <w:rPr>
          <w:bCs/>
          <w:sz w:val="24"/>
        </w:rPr>
        <w:t>（3）自《基金合同》生效之日起</w:t>
      </w:r>
      <w:r>
        <w:rPr>
          <w:rFonts w:hint="eastAsia"/>
          <w:bCs/>
          <w:sz w:val="24"/>
        </w:rPr>
        <w:t>，</w:t>
      </w:r>
      <w:r>
        <w:rPr>
          <w:bCs/>
          <w:sz w:val="24"/>
        </w:rPr>
        <w:t>以诚实信用、谨慎勤勉的原则管理和运用基金财产；</w:t>
      </w:r>
    </w:p>
    <w:p>
      <w:pPr>
        <w:spacing w:line="440" w:lineRule="atLeast"/>
        <w:ind w:firstLine="480" w:firstLineChars="200"/>
        <w:rPr>
          <w:bCs/>
          <w:sz w:val="24"/>
        </w:rPr>
      </w:pPr>
      <w:r>
        <w:rPr>
          <w:bCs/>
          <w:sz w:val="24"/>
        </w:rPr>
        <w:t>（4）配备足够的具有专业资格的人员进行基金投资分析、决策，以专业化的经营方式管理和运作基金财产；</w:t>
      </w:r>
    </w:p>
    <w:p>
      <w:pPr>
        <w:spacing w:line="440" w:lineRule="atLeast"/>
        <w:ind w:firstLine="480" w:firstLineChars="200"/>
        <w:rPr>
          <w:bCs/>
          <w:sz w:val="24"/>
        </w:rPr>
      </w:pPr>
      <w:r>
        <w:rPr>
          <w:bCs/>
          <w:sz w:val="24"/>
        </w:rPr>
        <w:t>（5）建立健全内部风险控制、监察与稽核、财务管理及人事管理等制度，保证所管理的基金财产和基金管理人的财产相互独立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pPr>
        <w:spacing w:line="440" w:lineRule="atLeast"/>
        <w:ind w:firstLine="480" w:firstLineChars="200"/>
        <w:rPr>
          <w:bCs/>
          <w:sz w:val="24"/>
        </w:rPr>
      </w:pPr>
      <w:r>
        <w:rPr>
          <w:bCs/>
          <w:sz w:val="24"/>
        </w:rPr>
        <w:t>（6）除依据《基金法》、《基金合同》及其他有关规定外</w:t>
      </w:r>
      <w:r>
        <w:rPr>
          <w:rFonts w:hint="eastAsia"/>
          <w:bCs/>
          <w:sz w:val="24"/>
        </w:rPr>
        <w:t>，</w:t>
      </w:r>
      <w:r>
        <w:rPr>
          <w:bCs/>
          <w:sz w:val="24"/>
        </w:rPr>
        <w:t>不得利用基金财产为自己及任何第三人谋取利益，不得委托第三人运作基金财产；</w:t>
      </w:r>
    </w:p>
    <w:p>
      <w:pPr>
        <w:spacing w:line="440" w:lineRule="atLeast"/>
        <w:ind w:firstLine="480" w:firstLineChars="200"/>
        <w:rPr>
          <w:bCs/>
          <w:sz w:val="24"/>
        </w:rPr>
      </w:pPr>
      <w:r>
        <w:rPr>
          <w:bCs/>
          <w:sz w:val="24"/>
        </w:rPr>
        <w:t>（7）依法接受基金托管人的监督；</w:t>
      </w:r>
    </w:p>
    <w:p>
      <w:pPr>
        <w:spacing w:line="440" w:lineRule="atLeast"/>
        <w:ind w:firstLine="480" w:firstLineChars="200"/>
        <w:rPr>
          <w:bCs/>
          <w:sz w:val="24"/>
        </w:rPr>
      </w:pPr>
      <w:r>
        <w:rPr>
          <w:bCs/>
          <w:sz w:val="24"/>
        </w:rPr>
        <w:t>（8）采取适当合理的措施使计算基金份额认购、申购、赎回和注销价格的方法符合《基金合同》等法律文件的规定，按有关规定计算并公告基金资产净值、各类基金份额的每万份基金已实现收益和7日年化收益率；</w:t>
      </w:r>
    </w:p>
    <w:p>
      <w:pPr>
        <w:spacing w:line="440" w:lineRule="atLeast"/>
        <w:ind w:firstLine="480" w:firstLineChars="200"/>
        <w:rPr>
          <w:bCs/>
          <w:sz w:val="24"/>
        </w:rPr>
      </w:pPr>
      <w:r>
        <w:rPr>
          <w:bCs/>
          <w:sz w:val="24"/>
        </w:rPr>
        <w:t>（9）进行基金会计核算并编制基金财务会计报告；</w:t>
      </w:r>
    </w:p>
    <w:p>
      <w:pPr>
        <w:spacing w:line="440" w:lineRule="atLeast"/>
        <w:ind w:firstLine="480" w:firstLineChars="200"/>
        <w:rPr>
          <w:bCs/>
          <w:sz w:val="24"/>
        </w:rPr>
      </w:pPr>
      <w:r>
        <w:rPr>
          <w:bCs/>
          <w:sz w:val="24"/>
        </w:rPr>
        <w:t>（10）编制季度、半年度和年度基金报告；</w:t>
      </w:r>
    </w:p>
    <w:p>
      <w:pPr>
        <w:spacing w:line="440" w:lineRule="atLeast"/>
        <w:ind w:firstLine="480" w:firstLineChars="200"/>
        <w:rPr>
          <w:bCs/>
          <w:sz w:val="24"/>
        </w:rPr>
      </w:pPr>
      <w:r>
        <w:rPr>
          <w:bCs/>
          <w:sz w:val="24"/>
        </w:rPr>
        <w:t>（11）严格按照《基金法》、《基金合同》及其他有关规定，履行信息披露及报告义务；</w:t>
      </w:r>
    </w:p>
    <w:p>
      <w:pPr>
        <w:spacing w:line="440" w:lineRule="atLeast"/>
        <w:ind w:firstLine="480" w:firstLineChars="200"/>
        <w:rPr>
          <w:bCs/>
          <w:sz w:val="24"/>
        </w:rPr>
      </w:pPr>
      <w:r>
        <w:rPr>
          <w:bCs/>
          <w:sz w:val="24"/>
        </w:rPr>
        <w:t>（12）保守基金商业秘密，不泄露基金投资计划、投资意向等。除《基金法》、《基金合同》及其他有关规定另有规定外，在基金信息公开披露前应予保密，不向他人泄露；</w:t>
      </w:r>
    </w:p>
    <w:p>
      <w:pPr>
        <w:spacing w:line="440" w:lineRule="atLeast"/>
        <w:ind w:firstLine="480" w:firstLineChars="200"/>
        <w:rPr>
          <w:bCs/>
          <w:sz w:val="24"/>
        </w:rPr>
      </w:pPr>
      <w:r>
        <w:rPr>
          <w:bCs/>
          <w:sz w:val="24"/>
        </w:rPr>
        <w:t>（13）按《基金合同》的约定确定基金收益分配方案，及时向基金份额持有人分配基金收益；</w:t>
      </w:r>
    </w:p>
    <w:p>
      <w:pPr>
        <w:spacing w:line="360" w:lineRule="auto"/>
        <w:ind w:firstLine="480" w:firstLineChars="200"/>
        <w:rPr>
          <w:bCs/>
          <w:sz w:val="24"/>
        </w:rPr>
      </w:pPr>
      <w:r>
        <w:rPr>
          <w:bCs/>
          <w:sz w:val="24"/>
        </w:rPr>
        <w:t>（14）按规定受理申购与赎回申请，及时、足额支付赎回款项；</w:t>
      </w:r>
    </w:p>
    <w:p>
      <w:pPr>
        <w:spacing w:line="360" w:lineRule="auto"/>
        <w:ind w:firstLine="480" w:firstLineChars="200"/>
        <w:rPr>
          <w:bCs/>
          <w:sz w:val="24"/>
        </w:rPr>
      </w:pPr>
      <w:r>
        <w:rPr>
          <w:bCs/>
          <w:sz w:val="24"/>
        </w:rPr>
        <w:t>（15）依据《基金法》、《基金合同》及其他有关规定召集基金份额持有人大会或配合基金托管人、基金份额持有人依法召集基金份额持有人大会；</w:t>
      </w:r>
    </w:p>
    <w:p>
      <w:pPr>
        <w:spacing w:line="360" w:lineRule="auto"/>
        <w:ind w:firstLine="480" w:firstLineChars="200"/>
        <w:rPr>
          <w:bCs/>
          <w:sz w:val="24"/>
        </w:rPr>
      </w:pPr>
      <w:r>
        <w:rPr>
          <w:bCs/>
          <w:sz w:val="24"/>
        </w:rPr>
        <w:t>（16）按规定保存基金财产管理业务活动的会计账册、报表、记录和其他相关资料15年以上；</w:t>
      </w:r>
    </w:p>
    <w:p>
      <w:pPr>
        <w:spacing w:line="360" w:lineRule="auto"/>
        <w:ind w:firstLine="480" w:firstLineChars="200"/>
        <w:rPr>
          <w:bCs/>
          <w:sz w:val="24"/>
        </w:rPr>
      </w:pPr>
      <w:r>
        <w:rPr>
          <w:bCs/>
          <w:sz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pPr>
        <w:spacing w:line="360" w:lineRule="auto"/>
        <w:ind w:firstLine="480" w:firstLineChars="200"/>
        <w:rPr>
          <w:bCs/>
          <w:sz w:val="24"/>
        </w:rPr>
      </w:pPr>
      <w:r>
        <w:rPr>
          <w:bCs/>
          <w:sz w:val="24"/>
        </w:rPr>
        <w:t>（18）组织并参加基金财产清算小组</w:t>
      </w:r>
      <w:r>
        <w:rPr>
          <w:rFonts w:hint="eastAsia"/>
          <w:bCs/>
          <w:sz w:val="24"/>
        </w:rPr>
        <w:t>，</w:t>
      </w:r>
      <w:r>
        <w:rPr>
          <w:bCs/>
          <w:sz w:val="24"/>
        </w:rPr>
        <w:t>参与基金财产的保管、清理、估价、变现和分配；</w:t>
      </w:r>
    </w:p>
    <w:p>
      <w:pPr>
        <w:spacing w:line="360" w:lineRule="auto"/>
        <w:ind w:firstLine="480" w:firstLineChars="200"/>
        <w:rPr>
          <w:bCs/>
          <w:sz w:val="24"/>
        </w:rPr>
      </w:pPr>
      <w:r>
        <w:rPr>
          <w:bCs/>
          <w:sz w:val="24"/>
        </w:rPr>
        <w:t>（19）面临解散、依法被撤销或者被依法宣告破产时，及时报告中国证监会并通知基金托管人；</w:t>
      </w:r>
    </w:p>
    <w:p>
      <w:pPr>
        <w:spacing w:line="360" w:lineRule="auto"/>
        <w:ind w:firstLine="480" w:firstLineChars="200"/>
        <w:rPr>
          <w:bCs/>
          <w:sz w:val="24"/>
        </w:rPr>
      </w:pPr>
      <w:r>
        <w:rPr>
          <w:bCs/>
          <w:sz w:val="24"/>
        </w:rPr>
        <w:t>（20）因违反《基金合同》导致基金财产的损失或损害基金份额持有人合法权益时，应当承担赔偿责任，其赔偿责任不因其退任而免除；</w:t>
      </w:r>
    </w:p>
    <w:p>
      <w:pPr>
        <w:spacing w:line="360" w:lineRule="auto"/>
        <w:ind w:firstLine="480" w:firstLineChars="200"/>
        <w:rPr>
          <w:bCs/>
          <w:sz w:val="24"/>
        </w:rPr>
      </w:pPr>
      <w:r>
        <w:rPr>
          <w:bCs/>
          <w:sz w:val="24"/>
        </w:rPr>
        <w:t>（21）监督基金托管人按法律法规和《基金合同》规定履行自己的义务，基金托管人违反《基金合同》造成基金财产损失时，基金管理人应为基金份额持有人利益向基金托管人追偿；</w:t>
      </w:r>
    </w:p>
    <w:p>
      <w:pPr>
        <w:spacing w:line="360" w:lineRule="auto"/>
        <w:ind w:firstLine="480" w:firstLineChars="200"/>
        <w:rPr>
          <w:bCs/>
          <w:sz w:val="24"/>
        </w:rPr>
      </w:pPr>
      <w:r>
        <w:rPr>
          <w:bCs/>
          <w:sz w:val="24"/>
        </w:rPr>
        <w:t>（22）当基金管理人将其义务委托第三方处理时，应当对第三方处理有关基金事务的行为承担责任；</w:t>
      </w:r>
    </w:p>
    <w:p>
      <w:pPr>
        <w:spacing w:line="360" w:lineRule="auto"/>
        <w:ind w:firstLine="480" w:firstLineChars="200"/>
        <w:rPr>
          <w:bCs/>
          <w:sz w:val="24"/>
        </w:rPr>
      </w:pPr>
      <w:r>
        <w:rPr>
          <w:bCs/>
          <w:sz w:val="24"/>
        </w:rPr>
        <w:t>（23）以基金管理人名义，代表基金份额持有人利益行使诉讼权利或实施其他法律行为；</w:t>
      </w:r>
      <w:r>
        <w:rPr>
          <w:bCs/>
          <w:sz w:val="24"/>
        </w:rPr>
        <w:tab/>
      </w:r>
    </w:p>
    <w:p>
      <w:pPr>
        <w:spacing w:line="360" w:lineRule="auto"/>
        <w:ind w:firstLine="480" w:firstLineChars="200"/>
        <w:rPr>
          <w:bCs/>
          <w:sz w:val="24"/>
        </w:rPr>
      </w:pPr>
      <w:r>
        <w:rPr>
          <w:bCs/>
          <w:sz w:val="24"/>
        </w:rPr>
        <w:t>（24）基金管理人在募集期间未能达到基金的备案条件，《基金合同》不能生效，基金管理人承担全部募集费用，将已募集资金并加计银行同期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存款利息在基金募集期结束后30日内退还基金认购人；</w:t>
      </w:r>
    </w:p>
    <w:p>
      <w:pPr>
        <w:spacing w:line="360" w:lineRule="auto"/>
        <w:ind w:firstLine="480" w:firstLineChars="200"/>
        <w:rPr>
          <w:bCs/>
          <w:sz w:val="24"/>
        </w:rPr>
      </w:pPr>
      <w:r>
        <w:rPr>
          <w:bCs/>
          <w:sz w:val="24"/>
        </w:rPr>
        <w:t>（25）执行生效的基金份额持有人大会的</w:t>
      </w:r>
      <w:r>
        <w:rPr>
          <w:rFonts w:hint="eastAsia"/>
          <w:bCs/>
          <w:sz w:val="24"/>
        </w:rPr>
        <w:t>决议</w:t>
      </w:r>
      <w:r>
        <w:rPr>
          <w:bCs/>
          <w:sz w:val="24"/>
        </w:rPr>
        <w:t>；</w:t>
      </w:r>
    </w:p>
    <w:p>
      <w:pPr>
        <w:spacing w:line="360" w:lineRule="auto"/>
        <w:ind w:firstLine="480" w:firstLineChars="200"/>
        <w:rPr>
          <w:bCs/>
          <w:sz w:val="24"/>
        </w:rPr>
      </w:pPr>
      <w:r>
        <w:rPr>
          <w:bCs/>
          <w:sz w:val="24"/>
        </w:rPr>
        <w:t>（26）建立并保存基金份额持有人名册；</w:t>
      </w:r>
    </w:p>
    <w:p>
      <w:pPr>
        <w:ind w:firstLine="480" w:firstLineChars="200"/>
        <w:rPr>
          <w:bCs/>
          <w:sz w:val="24"/>
        </w:rPr>
      </w:pPr>
      <w:r>
        <w:rPr>
          <w:bCs/>
          <w:sz w:val="24"/>
        </w:rPr>
        <w:t>（27）法律法规及中国证监会规定的和《基金合同》约定的其他义务。</w:t>
      </w:r>
    </w:p>
    <w:p>
      <w:pPr>
        <w:spacing w:line="360" w:lineRule="auto"/>
        <w:ind w:firstLine="480" w:firstLineChars="200"/>
        <w:rPr>
          <w:bCs/>
          <w:sz w:val="24"/>
        </w:rPr>
      </w:pPr>
      <w:r>
        <w:rPr>
          <w:rFonts w:hint="eastAsia"/>
          <w:bCs/>
          <w:sz w:val="24"/>
        </w:rPr>
        <w:t>二、</w:t>
      </w:r>
      <w:r>
        <w:rPr>
          <w:bCs/>
          <w:sz w:val="24"/>
        </w:rPr>
        <w:t>基金托管人的权利与义务</w:t>
      </w:r>
    </w:p>
    <w:p>
      <w:pPr>
        <w:spacing w:line="360" w:lineRule="auto"/>
        <w:ind w:firstLine="480" w:firstLineChars="200"/>
        <w:rPr>
          <w:bCs/>
          <w:sz w:val="24"/>
        </w:rPr>
      </w:pPr>
      <w:r>
        <w:rPr>
          <w:bCs/>
          <w:sz w:val="24"/>
        </w:rPr>
        <w:t>1、根据《基金法》、《运作办法》及其他有关规定，基金托管人的权利包括但不限于：</w:t>
      </w:r>
    </w:p>
    <w:p>
      <w:pPr>
        <w:spacing w:line="360" w:lineRule="auto"/>
        <w:ind w:firstLine="480" w:firstLineChars="200"/>
        <w:rPr>
          <w:bCs/>
          <w:sz w:val="24"/>
        </w:rPr>
      </w:pPr>
      <w:r>
        <w:rPr>
          <w:bCs/>
          <w:sz w:val="24"/>
        </w:rPr>
        <w:t>（1）自《基金合同》生效之日起，依法律法规和《基金合同》的规定安全保管基金财产；</w:t>
      </w:r>
    </w:p>
    <w:p>
      <w:pPr>
        <w:spacing w:line="360" w:lineRule="auto"/>
        <w:ind w:firstLine="480" w:firstLineChars="200"/>
        <w:rPr>
          <w:bCs/>
          <w:sz w:val="24"/>
        </w:rPr>
      </w:pPr>
      <w:r>
        <w:rPr>
          <w:bCs/>
          <w:sz w:val="24"/>
        </w:rPr>
        <w:t>（2）依《基金合同》约定获得基金托管费以及法律法规规定或监管部门批准的其他费用；</w:t>
      </w:r>
    </w:p>
    <w:p>
      <w:pPr>
        <w:spacing w:line="360" w:lineRule="auto"/>
        <w:ind w:firstLine="480" w:firstLineChars="200"/>
        <w:rPr>
          <w:bCs/>
          <w:sz w:val="24"/>
        </w:rPr>
      </w:pPr>
      <w:r>
        <w:rPr>
          <w:bCs/>
          <w:sz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pPr>
        <w:spacing w:line="360" w:lineRule="auto"/>
        <w:ind w:firstLine="480" w:firstLineChars="200"/>
        <w:rPr>
          <w:bCs/>
          <w:sz w:val="24"/>
        </w:rPr>
      </w:pPr>
      <w:r>
        <w:rPr>
          <w:bCs/>
          <w:sz w:val="24"/>
        </w:rPr>
        <w:t>（4）根据相关市场规则，为基金开设证券</w:t>
      </w:r>
      <w:r>
        <w:rPr>
          <w:rFonts w:hint="eastAsia"/>
          <w:bCs/>
          <w:sz w:val="24"/>
        </w:rPr>
        <w:t>账户</w:t>
      </w:r>
      <w:r>
        <w:rPr>
          <w:bCs/>
          <w:sz w:val="24"/>
        </w:rPr>
        <w:t>、为基金办理证券交易资金清算</w:t>
      </w:r>
      <w:r>
        <w:rPr>
          <w:rFonts w:hint="eastAsia"/>
          <w:bCs/>
          <w:sz w:val="24"/>
        </w:rPr>
        <w:t>；</w:t>
      </w:r>
    </w:p>
    <w:p>
      <w:pPr>
        <w:spacing w:line="360" w:lineRule="auto"/>
        <w:ind w:firstLine="480" w:firstLineChars="200"/>
        <w:rPr>
          <w:bCs/>
          <w:sz w:val="24"/>
        </w:rPr>
      </w:pPr>
      <w:r>
        <w:rPr>
          <w:bCs/>
          <w:sz w:val="24"/>
        </w:rPr>
        <w:t>（5）提议召开或召集基金份额持有人大会；</w:t>
      </w:r>
    </w:p>
    <w:p>
      <w:pPr>
        <w:spacing w:line="360" w:lineRule="auto"/>
        <w:ind w:firstLine="480" w:firstLineChars="200"/>
        <w:rPr>
          <w:bCs/>
          <w:sz w:val="24"/>
        </w:rPr>
      </w:pPr>
      <w:r>
        <w:rPr>
          <w:bCs/>
          <w:sz w:val="24"/>
        </w:rPr>
        <w:t>（6）在基金管理人更换时，提名新的基金管理人；</w:t>
      </w:r>
    </w:p>
    <w:p>
      <w:pPr>
        <w:spacing w:line="360" w:lineRule="auto"/>
        <w:ind w:firstLine="480" w:firstLineChars="200"/>
        <w:rPr>
          <w:bCs/>
          <w:sz w:val="24"/>
        </w:rPr>
      </w:pPr>
      <w:r>
        <w:rPr>
          <w:bCs/>
          <w:sz w:val="24"/>
        </w:rPr>
        <w:t>（7）</w:t>
      </w:r>
      <w:r>
        <w:rPr>
          <w:rFonts w:hint="eastAsia"/>
          <w:bCs/>
          <w:sz w:val="24"/>
        </w:rPr>
        <w:t>法律法规及中国证监会规定的和《基金合同》约定的其他</w:t>
      </w:r>
      <w:r>
        <w:rPr>
          <w:bCs/>
          <w:sz w:val="24"/>
        </w:rPr>
        <w:t>权利。</w:t>
      </w:r>
    </w:p>
    <w:p>
      <w:pPr>
        <w:spacing w:line="360" w:lineRule="auto"/>
        <w:ind w:firstLine="480" w:firstLineChars="200"/>
        <w:rPr>
          <w:bCs/>
          <w:sz w:val="24"/>
        </w:rPr>
      </w:pPr>
      <w:r>
        <w:rPr>
          <w:bCs/>
          <w:sz w:val="24"/>
        </w:rPr>
        <w:t>2、根据《基金法》、《运作办法》及其他有关规定，基金托管人的义务包括但不限于：</w:t>
      </w:r>
    </w:p>
    <w:p>
      <w:pPr>
        <w:spacing w:line="360" w:lineRule="auto"/>
        <w:ind w:firstLine="480" w:firstLineChars="200"/>
        <w:rPr>
          <w:bCs/>
          <w:sz w:val="24"/>
        </w:rPr>
      </w:pPr>
      <w:r>
        <w:rPr>
          <w:bCs/>
          <w:sz w:val="24"/>
        </w:rPr>
        <w:t>（1）以诚实信用、勤勉尽责的原则持有并安全保管基金财产；</w:t>
      </w:r>
    </w:p>
    <w:p>
      <w:pPr>
        <w:spacing w:line="360" w:lineRule="auto"/>
        <w:ind w:firstLine="480" w:firstLineChars="200"/>
        <w:rPr>
          <w:bCs/>
          <w:sz w:val="24"/>
        </w:rPr>
      </w:pPr>
      <w:r>
        <w:rPr>
          <w:bCs/>
          <w:sz w:val="24"/>
        </w:rPr>
        <w:t>（2）设立专门的基金托管部门，具有符合要求的营业场所，配备足够的、合格的熟悉基金托管业务的专职人员，负责基金财产托管事宜；</w:t>
      </w:r>
    </w:p>
    <w:p>
      <w:pPr>
        <w:spacing w:line="360" w:lineRule="auto"/>
        <w:ind w:firstLine="480" w:firstLineChars="200"/>
        <w:rPr>
          <w:bCs/>
          <w:sz w:val="24"/>
        </w:rPr>
      </w:pPr>
      <w:r>
        <w:rPr>
          <w:bCs/>
          <w:sz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pPr>
        <w:spacing w:line="360" w:lineRule="auto"/>
        <w:ind w:firstLine="480" w:firstLineChars="200"/>
        <w:rPr>
          <w:bCs/>
          <w:sz w:val="24"/>
        </w:rPr>
      </w:pPr>
      <w:r>
        <w:rPr>
          <w:bCs/>
          <w:sz w:val="24"/>
        </w:rPr>
        <w:t>（4）除依据《基金法》、《基金合同》及其他有关规定外，不得利用基金财产为自己及任何第三人谋取利益，不得委托第三人托管基金财产；</w:t>
      </w:r>
    </w:p>
    <w:p>
      <w:pPr>
        <w:spacing w:line="360" w:lineRule="auto"/>
        <w:ind w:firstLine="480" w:firstLineChars="200"/>
        <w:rPr>
          <w:bCs/>
          <w:sz w:val="24"/>
        </w:rPr>
      </w:pPr>
      <w:r>
        <w:rPr>
          <w:bCs/>
          <w:sz w:val="24"/>
        </w:rPr>
        <w:t>（5）保管由基金管理人代表基金签订的与基金有关的重大合同及有关凭证；</w:t>
      </w:r>
    </w:p>
    <w:p>
      <w:pPr>
        <w:spacing w:line="360" w:lineRule="auto"/>
        <w:ind w:firstLine="480" w:firstLineChars="200"/>
        <w:rPr>
          <w:bCs/>
          <w:sz w:val="24"/>
        </w:rPr>
      </w:pPr>
      <w:r>
        <w:rPr>
          <w:bCs/>
          <w:sz w:val="24"/>
        </w:rPr>
        <w:t>（6）按规定开设基金财产的资金账户和证券账户,按照《基金合同》的约定，根据基金管理人的投资指令，及时办理清算、交割事宜；</w:t>
      </w:r>
    </w:p>
    <w:p>
      <w:pPr>
        <w:spacing w:line="360" w:lineRule="auto"/>
        <w:ind w:firstLine="480" w:firstLineChars="200"/>
        <w:rPr>
          <w:bCs/>
          <w:sz w:val="24"/>
        </w:rPr>
      </w:pPr>
      <w:r>
        <w:rPr>
          <w:bCs/>
          <w:sz w:val="24"/>
        </w:rPr>
        <w:t>（7）保守基金商业秘密，除《基金法》、《基金合同》及其他有关规定另有规定外，在基金信息公开披露前予以保密，不得向他人泄露；</w:t>
      </w:r>
    </w:p>
    <w:p>
      <w:pPr>
        <w:spacing w:line="360" w:lineRule="auto"/>
        <w:ind w:firstLine="480" w:firstLineChars="200"/>
        <w:rPr>
          <w:bCs/>
          <w:sz w:val="24"/>
        </w:rPr>
      </w:pPr>
      <w:r>
        <w:rPr>
          <w:bCs/>
          <w:sz w:val="24"/>
        </w:rPr>
        <w:t>（8）复核、审查基金管理人计算的基金资产净值、各类基金份额的各类基金份额的每万份基金已实现收益和7日年化收益率；</w:t>
      </w:r>
    </w:p>
    <w:p>
      <w:pPr>
        <w:spacing w:line="360" w:lineRule="auto"/>
        <w:ind w:firstLine="480" w:firstLineChars="200"/>
        <w:rPr>
          <w:bCs/>
          <w:sz w:val="24"/>
        </w:rPr>
      </w:pPr>
      <w:r>
        <w:rPr>
          <w:bCs/>
          <w:sz w:val="24"/>
        </w:rPr>
        <w:t>（9）办理与基金托管业务活动有关的信息披露事项；</w:t>
      </w:r>
    </w:p>
    <w:p>
      <w:pPr>
        <w:spacing w:line="360" w:lineRule="auto"/>
        <w:ind w:firstLine="480" w:firstLineChars="200"/>
        <w:rPr>
          <w:bCs/>
          <w:sz w:val="24"/>
        </w:rPr>
      </w:pPr>
      <w:r>
        <w:rPr>
          <w:bCs/>
          <w:sz w:val="24"/>
        </w:rPr>
        <w:t>（10）对基金财务会计报告、</w:t>
      </w:r>
      <w:r>
        <w:rPr>
          <w:rFonts w:hint="eastAsia"/>
          <w:bCs/>
          <w:sz w:val="24"/>
        </w:rPr>
        <w:t>季度、</w:t>
      </w:r>
      <w:r>
        <w:rPr>
          <w:bCs/>
          <w:sz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pPr>
        <w:spacing w:line="360" w:lineRule="auto"/>
        <w:ind w:firstLine="480" w:firstLineChars="200"/>
        <w:rPr>
          <w:bCs/>
          <w:sz w:val="24"/>
        </w:rPr>
      </w:pPr>
      <w:r>
        <w:rPr>
          <w:bCs/>
          <w:sz w:val="24"/>
        </w:rPr>
        <w:t>（11）保存基金托管业务活动的记录、账册、报表和其他相关资料</w:t>
      </w:r>
      <w:r>
        <w:t>15</w:t>
      </w:r>
      <w:r>
        <w:rPr>
          <w:bCs/>
          <w:sz w:val="24"/>
        </w:rPr>
        <w:t>年以上；</w:t>
      </w:r>
    </w:p>
    <w:p>
      <w:pPr>
        <w:spacing w:line="360" w:lineRule="auto"/>
        <w:ind w:firstLine="480" w:firstLineChars="200"/>
        <w:rPr>
          <w:bCs/>
          <w:sz w:val="24"/>
        </w:rPr>
      </w:pPr>
      <w:r>
        <w:rPr>
          <w:bCs/>
          <w:sz w:val="24"/>
        </w:rPr>
        <w:t>（12）</w:t>
      </w:r>
      <w:r>
        <w:rPr>
          <w:rFonts w:hint="eastAsia"/>
          <w:bCs/>
          <w:sz w:val="24"/>
        </w:rPr>
        <w:t>从基金管理人或其委托的登记机构处接受</w:t>
      </w:r>
      <w:r>
        <w:rPr>
          <w:bCs/>
          <w:sz w:val="24"/>
        </w:rPr>
        <w:t>并保存基金份额持有人名册；</w:t>
      </w:r>
    </w:p>
    <w:p>
      <w:pPr>
        <w:spacing w:line="360" w:lineRule="auto"/>
        <w:ind w:firstLine="480" w:firstLineChars="200"/>
        <w:rPr>
          <w:bCs/>
          <w:sz w:val="24"/>
        </w:rPr>
      </w:pPr>
      <w:r>
        <w:rPr>
          <w:bCs/>
          <w:sz w:val="24"/>
        </w:rPr>
        <w:t>（13）按规定制作相关账册并与基金管理人核对；</w:t>
      </w:r>
    </w:p>
    <w:p>
      <w:pPr>
        <w:spacing w:line="360" w:lineRule="auto"/>
        <w:ind w:firstLine="480" w:firstLineChars="200"/>
        <w:rPr>
          <w:bCs/>
          <w:sz w:val="24"/>
        </w:rPr>
      </w:pPr>
      <w:r>
        <w:rPr>
          <w:bCs/>
          <w:sz w:val="24"/>
        </w:rPr>
        <w:t>（14）依据基金管理人的指令或有关规定向基金份额持有人支付基金收益和赎回款项；</w:t>
      </w:r>
    </w:p>
    <w:p>
      <w:pPr>
        <w:spacing w:line="360" w:lineRule="auto"/>
        <w:ind w:firstLine="480" w:firstLineChars="200"/>
        <w:rPr>
          <w:bCs/>
          <w:sz w:val="24"/>
        </w:rPr>
      </w:pPr>
      <w:r>
        <w:rPr>
          <w:bCs/>
          <w:sz w:val="24"/>
        </w:rPr>
        <w:t>（15）依据《基金法》、《基金合同》及其他有关规定，召集基金份额持有人大会或配合基金份额持有人依法召集基金份额持有人大会；</w:t>
      </w:r>
    </w:p>
    <w:p>
      <w:pPr>
        <w:spacing w:line="360" w:lineRule="auto"/>
        <w:ind w:firstLine="480" w:firstLineChars="200"/>
        <w:rPr>
          <w:bCs/>
          <w:sz w:val="24"/>
        </w:rPr>
      </w:pPr>
      <w:r>
        <w:rPr>
          <w:bCs/>
          <w:sz w:val="24"/>
        </w:rPr>
        <w:t>（16）按照法律法规和《基金合同》的规定监督基金管理人的投资运作；</w:t>
      </w:r>
    </w:p>
    <w:p>
      <w:pPr>
        <w:spacing w:line="360" w:lineRule="auto"/>
        <w:ind w:firstLine="480" w:firstLineChars="200"/>
        <w:rPr>
          <w:bCs/>
          <w:sz w:val="24"/>
        </w:rPr>
      </w:pPr>
      <w:r>
        <w:rPr>
          <w:bCs/>
          <w:sz w:val="24"/>
        </w:rPr>
        <w:t>（17）参加基金财产清算小组，参与基金财产的保管、清理、估价、变现和分配；</w:t>
      </w:r>
    </w:p>
    <w:p>
      <w:pPr>
        <w:spacing w:line="360" w:lineRule="auto"/>
        <w:ind w:firstLine="480" w:firstLineChars="200"/>
        <w:rPr>
          <w:bCs/>
          <w:sz w:val="24"/>
        </w:rPr>
      </w:pPr>
      <w:r>
        <w:rPr>
          <w:bCs/>
          <w:sz w:val="24"/>
        </w:rPr>
        <w:t>（18）面临解散、依法被撤销或者被依法宣告破产时，及时报告中国证监会和银行监管机构，并通知基金管理人；</w:t>
      </w:r>
    </w:p>
    <w:p>
      <w:pPr>
        <w:spacing w:line="360" w:lineRule="auto"/>
        <w:ind w:firstLine="480" w:firstLineChars="200"/>
        <w:rPr>
          <w:bCs/>
          <w:sz w:val="24"/>
        </w:rPr>
      </w:pPr>
      <w:r>
        <w:rPr>
          <w:bCs/>
          <w:sz w:val="24"/>
        </w:rPr>
        <w:t>（19）因违反《基金合同》导致基金财产损失时，应承担赔偿责任，其赔偿责任不因其退任而免除；</w:t>
      </w:r>
    </w:p>
    <w:p>
      <w:pPr>
        <w:spacing w:line="360" w:lineRule="auto"/>
        <w:ind w:firstLine="480" w:firstLineChars="200"/>
        <w:rPr>
          <w:bCs/>
          <w:sz w:val="24"/>
        </w:rPr>
      </w:pPr>
      <w:r>
        <w:rPr>
          <w:bCs/>
          <w:sz w:val="24"/>
        </w:rPr>
        <w:t>（20）按规定监督基金管理人按法律法规和《基金合同》规定履行自己的义务，基金管理人因违反《基金合同》造成基金财产损失时，应为基金份额持有人利益向基金管理人追偿；</w:t>
      </w:r>
    </w:p>
    <w:p>
      <w:pPr>
        <w:spacing w:line="360" w:lineRule="auto"/>
        <w:ind w:firstLine="480" w:firstLineChars="200"/>
        <w:rPr>
          <w:bCs/>
          <w:sz w:val="24"/>
        </w:rPr>
      </w:pPr>
      <w:r>
        <w:rPr>
          <w:bCs/>
          <w:sz w:val="24"/>
        </w:rPr>
        <w:t>（21）执行生效的基金份额持有人大会的</w:t>
      </w:r>
      <w:r>
        <w:rPr>
          <w:rFonts w:hint="eastAsia"/>
          <w:bCs/>
          <w:sz w:val="24"/>
        </w:rPr>
        <w:t>决议</w:t>
      </w:r>
      <w:r>
        <w:rPr>
          <w:bCs/>
          <w:sz w:val="24"/>
        </w:rPr>
        <w:t>；</w:t>
      </w:r>
    </w:p>
    <w:p>
      <w:pPr>
        <w:ind w:firstLine="480" w:firstLineChars="200"/>
        <w:rPr>
          <w:bCs/>
          <w:sz w:val="24"/>
        </w:rPr>
      </w:pPr>
      <w:r>
        <w:rPr>
          <w:bCs/>
          <w:sz w:val="24"/>
        </w:rPr>
        <w:t>（22）法律法规及中国证监会规定的和《基金合同》约定的其他义务。</w:t>
      </w:r>
    </w:p>
    <w:p>
      <w:pPr>
        <w:spacing w:line="360" w:lineRule="auto"/>
        <w:ind w:firstLine="480" w:firstLineChars="200"/>
        <w:rPr>
          <w:bCs/>
          <w:sz w:val="24"/>
        </w:rPr>
      </w:pPr>
      <w:r>
        <w:rPr>
          <w:rFonts w:hint="eastAsia"/>
          <w:bCs/>
          <w:sz w:val="24"/>
        </w:rPr>
        <w:t>三、</w:t>
      </w:r>
      <w:r>
        <w:rPr>
          <w:bCs/>
          <w:sz w:val="24"/>
        </w:rPr>
        <w:t>基金份额持有人</w:t>
      </w:r>
    </w:p>
    <w:p>
      <w:pPr>
        <w:spacing w:line="360" w:lineRule="auto"/>
        <w:ind w:firstLine="480" w:firstLineChars="200"/>
        <w:rPr>
          <w:bCs/>
          <w:sz w:val="24"/>
        </w:rPr>
      </w:pPr>
      <w:r>
        <w:rPr>
          <w:bCs/>
          <w:sz w:val="24"/>
        </w:rPr>
        <w:t>基金投资者</w:t>
      </w:r>
      <w:r>
        <w:rPr>
          <w:rFonts w:hint="eastAsia"/>
          <w:bCs/>
          <w:sz w:val="24"/>
        </w:rPr>
        <w:t>持有</w:t>
      </w:r>
      <w:r>
        <w:rPr>
          <w:bCs/>
          <w:sz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pPr>
        <w:spacing w:line="360" w:lineRule="auto"/>
        <w:ind w:firstLine="480" w:firstLineChars="200"/>
        <w:rPr>
          <w:bCs/>
          <w:sz w:val="24"/>
        </w:rPr>
      </w:pPr>
      <w:r>
        <w:rPr>
          <w:bCs/>
          <w:sz w:val="24"/>
        </w:rPr>
        <w:t>每份基金份额具有同等的合法权益。</w:t>
      </w:r>
    </w:p>
    <w:p>
      <w:pPr>
        <w:spacing w:line="360" w:lineRule="auto"/>
        <w:rPr>
          <w:bCs/>
          <w:sz w:val="24"/>
        </w:rPr>
      </w:pPr>
      <w:r>
        <w:rPr>
          <w:bCs/>
          <w:sz w:val="24"/>
        </w:rPr>
        <w:t>1、根据《基金法》、《运作办法》及其他有关规定，基金份额持有人的权利包括但不限于：</w:t>
      </w:r>
    </w:p>
    <w:p>
      <w:pPr>
        <w:spacing w:line="360" w:lineRule="auto"/>
        <w:ind w:firstLine="480" w:firstLineChars="200"/>
        <w:rPr>
          <w:bCs/>
          <w:sz w:val="24"/>
        </w:rPr>
      </w:pPr>
      <w:r>
        <w:rPr>
          <w:rFonts w:hint="eastAsia"/>
          <w:bCs/>
          <w:sz w:val="24"/>
        </w:rPr>
        <w:t>（1）分享基金财产收益；</w:t>
      </w:r>
    </w:p>
    <w:p>
      <w:pPr>
        <w:spacing w:line="360" w:lineRule="auto"/>
        <w:ind w:firstLine="480" w:firstLineChars="200"/>
        <w:rPr>
          <w:bCs/>
          <w:sz w:val="24"/>
        </w:rPr>
      </w:pPr>
      <w:r>
        <w:rPr>
          <w:rFonts w:hint="eastAsia"/>
          <w:bCs/>
          <w:sz w:val="24"/>
        </w:rPr>
        <w:t>（2）参与分配清算后的剩余基金财产；</w:t>
      </w:r>
    </w:p>
    <w:p>
      <w:pPr>
        <w:spacing w:line="360" w:lineRule="auto"/>
        <w:ind w:firstLine="480" w:firstLineChars="200"/>
        <w:rPr>
          <w:bCs/>
          <w:sz w:val="24"/>
        </w:rPr>
      </w:pPr>
      <w:r>
        <w:rPr>
          <w:rFonts w:hint="eastAsia"/>
          <w:bCs/>
          <w:sz w:val="24"/>
        </w:rPr>
        <w:t>（3）依法转让或者申请赎回其持有的基金份额；</w:t>
      </w:r>
    </w:p>
    <w:p>
      <w:pPr>
        <w:tabs>
          <w:tab w:val="left" w:pos="993"/>
        </w:tabs>
        <w:spacing w:line="360" w:lineRule="auto"/>
        <w:ind w:firstLine="480" w:firstLineChars="200"/>
        <w:rPr>
          <w:bCs/>
          <w:sz w:val="24"/>
        </w:rPr>
      </w:pPr>
      <w:r>
        <w:rPr>
          <w:rFonts w:hint="eastAsia"/>
          <w:bCs/>
          <w:sz w:val="24"/>
        </w:rPr>
        <w:t>（4）按照规定要求召开基金份额持有人大会或者召集基金份额持有人大会；</w:t>
      </w:r>
    </w:p>
    <w:p>
      <w:pPr>
        <w:spacing w:line="360" w:lineRule="auto"/>
        <w:ind w:firstLine="480" w:firstLineChars="200"/>
        <w:rPr>
          <w:bCs/>
          <w:sz w:val="24"/>
        </w:rPr>
      </w:pPr>
      <w:r>
        <w:rPr>
          <w:rFonts w:hint="eastAsia"/>
          <w:bCs/>
          <w:sz w:val="24"/>
        </w:rPr>
        <w:t>（5）对基金份额持有人大会审议事项行使表决权；</w:t>
      </w:r>
    </w:p>
    <w:p>
      <w:pPr>
        <w:spacing w:line="360" w:lineRule="auto"/>
        <w:ind w:firstLine="480" w:firstLineChars="200"/>
        <w:rPr>
          <w:bCs/>
          <w:sz w:val="24"/>
        </w:rPr>
      </w:pPr>
      <w:r>
        <w:rPr>
          <w:rFonts w:hint="eastAsia"/>
          <w:bCs/>
          <w:sz w:val="24"/>
        </w:rPr>
        <w:t>（6）对基金管理人、基金托管人、基金服务机构损害其合法权益的行为依法提起诉讼；</w:t>
      </w:r>
    </w:p>
    <w:p>
      <w:pPr>
        <w:spacing w:line="360" w:lineRule="auto"/>
        <w:ind w:firstLine="480" w:firstLineChars="200"/>
        <w:rPr>
          <w:bCs/>
          <w:sz w:val="24"/>
        </w:rPr>
      </w:pPr>
      <w:r>
        <w:rPr>
          <w:rFonts w:hint="eastAsia"/>
          <w:bCs/>
          <w:sz w:val="24"/>
        </w:rPr>
        <w:t>（7）</w:t>
      </w:r>
      <w:r>
        <w:rPr>
          <w:bCs/>
          <w:sz w:val="24"/>
        </w:rPr>
        <w:t>法律法规及中国证监会规定的和</w:t>
      </w:r>
      <w:r>
        <w:rPr>
          <w:rFonts w:hint="eastAsia"/>
          <w:bCs/>
          <w:sz w:val="24"/>
        </w:rPr>
        <w:t>《基金合同》约定的其他权利。</w:t>
      </w:r>
    </w:p>
    <w:p>
      <w:pPr>
        <w:spacing w:line="360" w:lineRule="auto"/>
        <w:ind w:firstLine="480" w:firstLineChars="200"/>
        <w:rPr>
          <w:bCs/>
          <w:sz w:val="24"/>
        </w:rPr>
      </w:pPr>
      <w:r>
        <w:rPr>
          <w:bCs/>
          <w:sz w:val="24"/>
        </w:rPr>
        <w:t>2、根据《基金法》、《运作办法》及其他有关规定，基金份额持有人的义务包括但不限于：</w:t>
      </w:r>
    </w:p>
    <w:p>
      <w:pPr>
        <w:spacing w:line="360" w:lineRule="auto"/>
        <w:ind w:firstLine="480" w:firstLineChars="200"/>
        <w:rPr>
          <w:bCs/>
          <w:sz w:val="24"/>
        </w:rPr>
      </w:pPr>
      <w:r>
        <w:rPr>
          <w:bCs/>
          <w:sz w:val="24"/>
        </w:rPr>
        <w:t>（1）认真阅读并遵守《基金合同》</w:t>
      </w:r>
      <w:r>
        <w:rPr>
          <w:rFonts w:hint="eastAsia"/>
          <w:bCs/>
          <w:sz w:val="24"/>
        </w:rPr>
        <w:t>、招募说明书等信息披露文件</w:t>
      </w:r>
      <w:r>
        <w:rPr>
          <w:bCs/>
          <w:sz w:val="24"/>
        </w:rPr>
        <w:t>；</w:t>
      </w:r>
    </w:p>
    <w:p>
      <w:pPr>
        <w:spacing w:line="360" w:lineRule="auto"/>
        <w:ind w:firstLine="480" w:firstLineChars="200"/>
        <w:rPr>
          <w:bCs/>
          <w:sz w:val="24"/>
        </w:rPr>
      </w:pPr>
      <w:r>
        <w:rPr>
          <w:bCs/>
          <w:sz w:val="24"/>
        </w:rPr>
        <w:t>（2）了解所投资基金产品，了解自身风险承受能力，自行承担投资风险；</w:t>
      </w:r>
    </w:p>
    <w:p>
      <w:pPr>
        <w:spacing w:line="360" w:lineRule="auto"/>
        <w:ind w:firstLine="480" w:firstLineChars="200"/>
        <w:rPr>
          <w:bCs/>
          <w:sz w:val="24"/>
        </w:rPr>
      </w:pPr>
      <w:r>
        <w:rPr>
          <w:bCs/>
          <w:sz w:val="24"/>
        </w:rPr>
        <w:t>（3）关注基金信息披露，及时行使权利和履行义务；</w:t>
      </w:r>
    </w:p>
    <w:p>
      <w:pPr>
        <w:spacing w:line="360" w:lineRule="auto"/>
        <w:ind w:firstLine="480" w:firstLineChars="200"/>
        <w:rPr>
          <w:bCs/>
          <w:sz w:val="24"/>
        </w:rPr>
      </w:pPr>
      <w:r>
        <w:rPr>
          <w:bCs/>
          <w:sz w:val="24"/>
        </w:rPr>
        <w:t>（4）</w:t>
      </w:r>
      <w:r>
        <w:rPr>
          <w:rFonts w:hint="eastAsia"/>
          <w:bCs/>
          <w:sz w:val="24"/>
        </w:rPr>
        <w:t>缴纳</w:t>
      </w:r>
      <w:r>
        <w:rPr>
          <w:bCs/>
          <w:sz w:val="24"/>
        </w:rPr>
        <w:t>基金认购、申购款项及法律法规和《基金合同》所规定的费用；</w:t>
      </w:r>
    </w:p>
    <w:p>
      <w:pPr>
        <w:spacing w:line="360" w:lineRule="auto"/>
        <w:ind w:firstLine="480" w:firstLineChars="200"/>
        <w:rPr>
          <w:bCs/>
          <w:sz w:val="24"/>
        </w:rPr>
      </w:pPr>
      <w:r>
        <w:rPr>
          <w:bCs/>
          <w:sz w:val="24"/>
        </w:rPr>
        <w:t>（5）在其持有的基金份额范围内，承担基金亏损或者《基金合同》终止的有限责任；</w:t>
      </w:r>
    </w:p>
    <w:p>
      <w:pPr>
        <w:spacing w:line="360" w:lineRule="auto"/>
        <w:ind w:firstLine="480" w:firstLineChars="200"/>
        <w:rPr>
          <w:bCs/>
          <w:sz w:val="24"/>
        </w:rPr>
      </w:pPr>
      <w:r>
        <w:rPr>
          <w:bCs/>
          <w:sz w:val="24"/>
        </w:rPr>
        <w:t>（6）不从事任何有损基金及其他《基金合同》当事人合法权益的活动；</w:t>
      </w:r>
    </w:p>
    <w:p>
      <w:pPr>
        <w:spacing w:line="360" w:lineRule="auto"/>
        <w:ind w:firstLine="480" w:firstLineChars="200"/>
        <w:rPr>
          <w:bCs/>
          <w:sz w:val="24"/>
        </w:rPr>
      </w:pPr>
      <w:r>
        <w:rPr>
          <w:bCs/>
          <w:sz w:val="24"/>
        </w:rPr>
        <w:t>（7）执行生效的基金份额持有人大会的</w:t>
      </w:r>
      <w:r>
        <w:rPr>
          <w:rFonts w:hint="eastAsia"/>
          <w:bCs/>
          <w:sz w:val="24"/>
        </w:rPr>
        <w:t>决议</w:t>
      </w:r>
      <w:r>
        <w:rPr>
          <w:bCs/>
          <w:sz w:val="24"/>
        </w:rPr>
        <w:t>；</w:t>
      </w:r>
    </w:p>
    <w:p>
      <w:pPr>
        <w:spacing w:line="360" w:lineRule="auto"/>
        <w:ind w:firstLine="480" w:firstLineChars="200"/>
        <w:rPr>
          <w:bCs/>
          <w:sz w:val="24"/>
        </w:rPr>
      </w:pPr>
      <w:r>
        <w:rPr>
          <w:bCs/>
          <w:sz w:val="24"/>
        </w:rPr>
        <w:t>（8）返还在基金交易过程中因任何原因获得的不当得利；</w:t>
      </w:r>
    </w:p>
    <w:p>
      <w:pPr>
        <w:spacing w:line="360" w:lineRule="auto"/>
        <w:ind w:firstLine="480" w:firstLineChars="200"/>
        <w:rPr>
          <w:bCs/>
          <w:sz w:val="24"/>
        </w:rPr>
      </w:pPr>
      <w:r>
        <w:rPr>
          <w:bCs/>
          <w:sz w:val="24"/>
        </w:rPr>
        <w:t>（9）法律法规及中国证监会规定的和《基金合同》约定的其他义务。</w:t>
      </w:r>
    </w:p>
    <w:p>
      <w:pPr>
        <w:spacing w:line="360" w:lineRule="auto"/>
        <w:ind w:firstLine="480" w:firstLineChars="200"/>
        <w:rPr>
          <w:rFonts w:ascii="宋体" w:hAnsi="宋体"/>
          <w:sz w:val="24"/>
        </w:rPr>
      </w:pPr>
      <w:r>
        <w:rPr>
          <w:rFonts w:hint="eastAsia" w:ascii="宋体" w:hAnsi="宋体"/>
          <w:sz w:val="24"/>
        </w:rPr>
        <w:t>（二</w:t>
      </w:r>
      <w:r>
        <w:rPr>
          <w:rFonts w:ascii="宋体" w:hAnsi="宋体"/>
          <w:sz w:val="24"/>
        </w:rPr>
        <w:t>）</w:t>
      </w:r>
      <w:r>
        <w:rPr>
          <w:rFonts w:hint="eastAsia" w:ascii="宋体" w:hAnsi="宋体"/>
          <w:sz w:val="24"/>
        </w:rPr>
        <w:t>基金份额持有人大会召集、议事及表决的程序和规则</w:t>
      </w:r>
    </w:p>
    <w:p>
      <w:pPr>
        <w:spacing w:line="360" w:lineRule="auto"/>
        <w:ind w:firstLine="480" w:firstLineChars="20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pPr>
        <w:spacing w:line="360" w:lineRule="auto"/>
        <w:ind w:firstLine="480" w:firstLineChars="200"/>
        <w:rPr>
          <w:bCs/>
          <w:sz w:val="24"/>
        </w:rPr>
      </w:pPr>
      <w:r>
        <w:rPr>
          <w:rFonts w:hint="eastAsia"/>
          <w:bCs/>
          <w:sz w:val="24"/>
        </w:rPr>
        <w:t>本基金份额持有人大会不设日常机构。</w:t>
      </w:r>
    </w:p>
    <w:p>
      <w:pPr>
        <w:spacing w:line="360" w:lineRule="auto"/>
        <w:ind w:firstLine="480" w:firstLineChars="200"/>
        <w:rPr>
          <w:bCs/>
          <w:sz w:val="24"/>
        </w:rPr>
      </w:pPr>
      <w:r>
        <w:rPr>
          <w:rFonts w:hint="eastAsia"/>
          <w:bCs/>
          <w:sz w:val="24"/>
        </w:rPr>
        <w:t>一、</w:t>
      </w:r>
      <w:r>
        <w:rPr>
          <w:bCs/>
          <w:sz w:val="24"/>
        </w:rPr>
        <w:t>召开事由</w:t>
      </w:r>
    </w:p>
    <w:p>
      <w:pPr>
        <w:spacing w:line="360" w:lineRule="auto"/>
        <w:ind w:firstLine="480" w:firstLineChars="200"/>
        <w:rPr>
          <w:bCs/>
          <w:sz w:val="24"/>
        </w:rPr>
      </w:pPr>
      <w:r>
        <w:rPr>
          <w:bCs/>
          <w:sz w:val="24"/>
        </w:rPr>
        <w:t>1、当出现或需要决定下列事由之一的，应当召开基金份额持有人大会：</w:t>
      </w:r>
    </w:p>
    <w:p>
      <w:pPr>
        <w:spacing w:line="440" w:lineRule="atLeast"/>
        <w:ind w:firstLine="480" w:firstLineChars="20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pPr>
        <w:spacing w:line="440" w:lineRule="atLeast"/>
        <w:ind w:firstLine="480" w:firstLineChars="200"/>
        <w:rPr>
          <w:bCs/>
          <w:sz w:val="24"/>
        </w:rPr>
      </w:pPr>
      <w:r>
        <w:rPr>
          <w:bCs/>
          <w:sz w:val="24"/>
        </w:rPr>
        <w:t>（2）更换基金管理人；</w:t>
      </w:r>
    </w:p>
    <w:p>
      <w:pPr>
        <w:spacing w:line="440" w:lineRule="atLeast"/>
        <w:ind w:firstLine="480" w:firstLineChars="200"/>
        <w:rPr>
          <w:bCs/>
          <w:sz w:val="24"/>
        </w:rPr>
      </w:pPr>
      <w:r>
        <w:rPr>
          <w:bCs/>
          <w:sz w:val="24"/>
        </w:rPr>
        <w:t>（3）更换基金托管人；</w:t>
      </w:r>
    </w:p>
    <w:p>
      <w:pPr>
        <w:spacing w:line="440" w:lineRule="atLeast"/>
        <w:ind w:firstLine="480" w:firstLineChars="200"/>
        <w:rPr>
          <w:bCs/>
          <w:sz w:val="24"/>
        </w:rPr>
      </w:pPr>
      <w:r>
        <w:rPr>
          <w:bCs/>
          <w:sz w:val="24"/>
        </w:rPr>
        <w:t>（</w:t>
      </w:r>
      <w:r>
        <w:rPr>
          <w:rFonts w:hint="eastAsia"/>
          <w:bCs/>
          <w:sz w:val="24"/>
        </w:rPr>
        <w:t>4</w:t>
      </w:r>
      <w:r>
        <w:rPr>
          <w:bCs/>
          <w:sz w:val="24"/>
        </w:rPr>
        <w:t>）转换基金运作方式</w:t>
      </w:r>
      <w:r>
        <w:rPr>
          <w:rFonts w:hint="eastAsia"/>
          <w:bCs/>
          <w:sz w:val="24"/>
        </w:rPr>
        <w:t>；</w:t>
      </w:r>
    </w:p>
    <w:p>
      <w:pPr>
        <w:spacing w:line="440" w:lineRule="atLeast"/>
        <w:ind w:firstLine="480" w:firstLineChars="20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pPr>
        <w:spacing w:line="440" w:lineRule="atLeast"/>
        <w:ind w:firstLine="480" w:firstLineChars="200"/>
        <w:rPr>
          <w:bCs/>
          <w:sz w:val="24"/>
        </w:rPr>
      </w:pPr>
      <w:r>
        <w:rPr>
          <w:bCs/>
          <w:sz w:val="24"/>
        </w:rPr>
        <w:t>（</w:t>
      </w:r>
      <w:r>
        <w:rPr>
          <w:rFonts w:hint="eastAsia"/>
          <w:bCs/>
          <w:sz w:val="24"/>
        </w:rPr>
        <w:t>6</w:t>
      </w:r>
      <w:r>
        <w:rPr>
          <w:bCs/>
          <w:sz w:val="24"/>
        </w:rPr>
        <w:t>）变更基金类别；</w:t>
      </w:r>
    </w:p>
    <w:p>
      <w:pPr>
        <w:spacing w:line="440" w:lineRule="atLeast"/>
        <w:ind w:firstLine="480" w:firstLineChars="200"/>
        <w:rPr>
          <w:bCs/>
          <w:sz w:val="24"/>
        </w:rPr>
      </w:pPr>
      <w:r>
        <w:rPr>
          <w:bCs/>
          <w:sz w:val="24"/>
        </w:rPr>
        <w:t>（</w:t>
      </w:r>
      <w:r>
        <w:rPr>
          <w:rFonts w:hint="eastAsia"/>
          <w:bCs/>
          <w:sz w:val="24"/>
        </w:rPr>
        <w:t>7</w:t>
      </w:r>
      <w:r>
        <w:rPr>
          <w:bCs/>
          <w:sz w:val="24"/>
        </w:rPr>
        <w:t>）本基金与其他基金的合并；</w:t>
      </w:r>
    </w:p>
    <w:p>
      <w:pPr>
        <w:spacing w:line="440" w:lineRule="atLeast"/>
        <w:ind w:firstLine="480" w:firstLineChars="200"/>
        <w:rPr>
          <w:bCs/>
          <w:sz w:val="24"/>
        </w:rPr>
      </w:pPr>
      <w:r>
        <w:rPr>
          <w:bCs/>
          <w:sz w:val="24"/>
        </w:rPr>
        <w:t>（</w:t>
      </w:r>
      <w:r>
        <w:rPr>
          <w:rFonts w:hint="eastAsia"/>
          <w:bCs/>
          <w:sz w:val="24"/>
        </w:rPr>
        <w:t>8</w:t>
      </w:r>
      <w:r>
        <w:rPr>
          <w:bCs/>
          <w:sz w:val="24"/>
        </w:rPr>
        <w:t>）变更基金投资目标、范围或策略；</w:t>
      </w:r>
    </w:p>
    <w:p>
      <w:pPr>
        <w:spacing w:line="440" w:lineRule="atLeast"/>
        <w:ind w:firstLine="480" w:firstLineChars="200"/>
        <w:rPr>
          <w:bCs/>
          <w:sz w:val="24"/>
        </w:rPr>
      </w:pPr>
      <w:r>
        <w:rPr>
          <w:bCs/>
          <w:sz w:val="24"/>
        </w:rPr>
        <w:t>（</w:t>
      </w:r>
      <w:r>
        <w:rPr>
          <w:rFonts w:hint="eastAsia"/>
          <w:bCs/>
          <w:sz w:val="24"/>
        </w:rPr>
        <w:t>9</w:t>
      </w:r>
      <w:r>
        <w:rPr>
          <w:bCs/>
          <w:sz w:val="24"/>
        </w:rPr>
        <w:t>）变更基金份额持有人大会程序；</w:t>
      </w:r>
    </w:p>
    <w:p>
      <w:pPr>
        <w:spacing w:line="440" w:lineRule="atLeast"/>
        <w:ind w:firstLine="480" w:firstLineChars="200"/>
        <w:rPr>
          <w:bCs/>
          <w:sz w:val="24"/>
        </w:rPr>
      </w:pPr>
      <w:r>
        <w:rPr>
          <w:bCs/>
          <w:sz w:val="24"/>
        </w:rPr>
        <w:t>（</w:t>
      </w:r>
      <w:r>
        <w:rPr>
          <w:rFonts w:hint="eastAsia"/>
          <w:bCs/>
          <w:sz w:val="24"/>
        </w:rPr>
        <w:t>10</w:t>
      </w:r>
      <w:r>
        <w:rPr>
          <w:bCs/>
          <w:sz w:val="24"/>
        </w:rPr>
        <w:t>）基金管理人或基金托管人要求召开基金份额持有人大会；</w:t>
      </w:r>
    </w:p>
    <w:p>
      <w:pPr>
        <w:spacing w:line="440" w:lineRule="atLeast"/>
        <w:ind w:firstLine="480" w:firstLineChars="200"/>
        <w:rPr>
          <w:bCs/>
          <w:sz w:val="24"/>
        </w:rPr>
      </w:pPr>
      <w:r>
        <w:rPr>
          <w:bCs/>
          <w:sz w:val="24"/>
        </w:rPr>
        <w:t>（1</w:t>
      </w:r>
      <w:r>
        <w:rPr>
          <w:rFonts w:hint="eastAsia"/>
          <w:bCs/>
          <w:sz w:val="24"/>
        </w:rPr>
        <w:t>1</w:t>
      </w:r>
      <w:r>
        <w:rPr>
          <w:bCs/>
          <w:sz w:val="24"/>
        </w:rPr>
        <w:t>）单独或合计持有本基金总份额10%以上（含10%）基金份额的基金份额持有人（以基金管理人收到提议当日的基金份额计算，下同）就同一事项书面要求召开基金份额持有人大会；</w:t>
      </w:r>
    </w:p>
    <w:p>
      <w:pPr>
        <w:spacing w:line="440" w:lineRule="atLeast"/>
        <w:ind w:firstLine="480" w:firstLineChars="200"/>
        <w:rPr>
          <w:bCs/>
          <w:sz w:val="24"/>
        </w:rPr>
      </w:pP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pPr>
        <w:spacing w:line="440" w:lineRule="atLeast"/>
        <w:ind w:firstLine="480" w:firstLineChars="200"/>
        <w:rPr>
          <w:bCs/>
          <w:sz w:val="24"/>
        </w:rPr>
      </w:pPr>
      <w:r>
        <w:rPr>
          <w:bCs/>
          <w:sz w:val="24"/>
        </w:rPr>
        <w:t>（12）法律法规、《基金合同》或中国证监会规定的其他应当召开基金份额持有人大会的事项。</w:t>
      </w:r>
    </w:p>
    <w:p>
      <w:pPr>
        <w:spacing w:line="440" w:lineRule="atLeast"/>
        <w:ind w:firstLine="480" w:firstLineChars="200"/>
        <w:rPr>
          <w:bCs/>
          <w:sz w:val="24"/>
        </w:rPr>
      </w:pPr>
      <w:r>
        <w:rPr>
          <w:bCs/>
          <w:sz w:val="24"/>
        </w:rPr>
        <w:t>2、以下情况可由基金管理人和基金托管人协商后修改，不需召开基金份额持有人大会：</w:t>
      </w:r>
    </w:p>
    <w:p>
      <w:pPr>
        <w:spacing w:line="360" w:lineRule="auto"/>
        <w:ind w:firstLine="480" w:firstLineChars="200"/>
        <w:rPr>
          <w:bCs/>
          <w:sz w:val="24"/>
        </w:rPr>
      </w:pPr>
      <w:r>
        <w:rPr>
          <w:bCs/>
          <w:sz w:val="24"/>
        </w:rPr>
        <w:t>（1）调低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pPr>
        <w:spacing w:line="360" w:lineRule="auto"/>
        <w:ind w:firstLine="480" w:firstLineChars="200"/>
        <w:rPr>
          <w:bCs/>
          <w:sz w:val="24"/>
        </w:rPr>
      </w:pPr>
      <w:r>
        <w:rPr>
          <w:bCs/>
          <w:sz w:val="24"/>
        </w:rPr>
        <w:t>（2）法律法规要求增加的基金费用的收取；</w:t>
      </w:r>
    </w:p>
    <w:p>
      <w:pPr>
        <w:spacing w:line="360" w:lineRule="auto"/>
        <w:ind w:firstLine="480" w:firstLineChars="200"/>
        <w:rPr>
          <w:bCs/>
          <w:sz w:val="24"/>
        </w:rPr>
      </w:pPr>
      <w:r>
        <w:rPr>
          <w:bCs/>
          <w:sz w:val="24"/>
        </w:rPr>
        <w:t>（3）在法律法规和《基金合同》规定的范围内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pPr>
        <w:spacing w:line="360" w:lineRule="auto"/>
        <w:ind w:firstLine="480" w:firstLineChars="200"/>
        <w:rPr>
          <w:bCs/>
          <w:sz w:val="24"/>
        </w:rPr>
      </w:pPr>
      <w:r>
        <w:rPr>
          <w:bCs/>
          <w:sz w:val="24"/>
        </w:rPr>
        <w:t>（4）因相应的法律法规发生变动而应当对《基金合同》进行修改；</w:t>
      </w:r>
    </w:p>
    <w:p>
      <w:pPr>
        <w:spacing w:line="360" w:lineRule="auto"/>
        <w:ind w:firstLine="480" w:firstLineChars="200"/>
        <w:rPr>
          <w:bCs/>
          <w:sz w:val="24"/>
        </w:rPr>
      </w:pPr>
      <w:r>
        <w:rPr>
          <w:bCs/>
          <w:sz w:val="24"/>
        </w:rPr>
        <w:t>（5）对《基金合同》的修改对基金份额持有人利益无实质性不利影响或修改不涉及《基金合同》当事人权利义务关系发生</w:t>
      </w:r>
      <w:r>
        <w:rPr>
          <w:rFonts w:hint="eastAsia"/>
          <w:bCs/>
          <w:sz w:val="24"/>
        </w:rPr>
        <w:t>重大</w:t>
      </w:r>
      <w:r>
        <w:rPr>
          <w:bCs/>
          <w:sz w:val="24"/>
        </w:rPr>
        <w:t>变化；</w:t>
      </w:r>
    </w:p>
    <w:p>
      <w:pPr>
        <w:spacing w:line="440" w:lineRule="atLeast"/>
        <w:ind w:firstLine="480" w:firstLineChars="200"/>
        <w:rPr>
          <w:bCs/>
          <w:sz w:val="24"/>
        </w:rPr>
      </w:pPr>
      <w:r>
        <w:rPr>
          <w:rFonts w:hint="eastAsia"/>
          <w:bCs/>
          <w:sz w:val="24"/>
        </w:rPr>
        <w:t>（6）在不违反法律法规、基金合同且对现有基金份额持有人利益无实质不利影响的前提下，基金管理人、登记机构、基金销售机构调整有关认购、申购、赎回、转换、基金交易、非交易过户、转托管等业务规则；</w:t>
      </w:r>
    </w:p>
    <w:p>
      <w:pPr>
        <w:spacing w:line="440" w:lineRule="atLeast"/>
        <w:ind w:firstLine="480" w:firstLineChars="200"/>
        <w:rPr>
          <w:bCs/>
          <w:sz w:val="24"/>
        </w:rPr>
      </w:pPr>
      <w:r>
        <w:rPr>
          <w:rFonts w:hint="eastAsia"/>
          <w:bCs/>
          <w:sz w:val="24"/>
        </w:rPr>
        <w:t>（7）在法律法规或中国证监会允许的范围内且对现有基金份额持有人利益无实质不利影响的前提下推出新业务或服务；</w:t>
      </w:r>
    </w:p>
    <w:p>
      <w:pPr>
        <w:spacing w:line="440" w:lineRule="atLeast"/>
        <w:ind w:firstLine="480" w:firstLineChars="200"/>
        <w:rPr>
          <w:bCs/>
          <w:sz w:val="24"/>
        </w:rPr>
      </w:pPr>
      <w:r>
        <w:rPr>
          <w:bCs/>
          <w:sz w:val="24"/>
        </w:rPr>
        <w:t>（</w:t>
      </w:r>
      <w:r>
        <w:rPr>
          <w:rFonts w:hint="eastAsia"/>
          <w:bCs/>
          <w:sz w:val="24"/>
        </w:rPr>
        <w:t>8</w:t>
      </w:r>
      <w:r>
        <w:rPr>
          <w:bCs/>
          <w:sz w:val="24"/>
        </w:rPr>
        <w:t>）按照法律法规和《基金合同》规定不需召开基金份额持有人大会的以外的其他情形。</w:t>
      </w:r>
    </w:p>
    <w:p>
      <w:pPr>
        <w:spacing w:line="360" w:lineRule="auto"/>
        <w:ind w:firstLine="480" w:firstLineChars="200"/>
        <w:rPr>
          <w:bCs/>
          <w:sz w:val="24"/>
        </w:rPr>
      </w:pPr>
      <w:r>
        <w:rPr>
          <w:rFonts w:hint="eastAsia"/>
          <w:bCs/>
          <w:sz w:val="24"/>
        </w:rPr>
        <w:t>3、当影子定价确定的基金资产净值与摊余成本法计算的基金资产净值的负偏离度绝对值连续两个交易日超过0.5%，且基金管理人决定暂停接受所有赎回申请并终止基金合同，则基金合同将根据第十九部分的约定进行基金财产清算并终止，且无须召开基金份额持有人大会。</w:t>
      </w:r>
    </w:p>
    <w:p>
      <w:pPr>
        <w:spacing w:line="360" w:lineRule="auto"/>
        <w:ind w:firstLine="480" w:firstLineChars="200"/>
        <w:rPr>
          <w:bCs/>
          <w:sz w:val="24"/>
        </w:rPr>
      </w:pPr>
      <w:r>
        <w:rPr>
          <w:rFonts w:hint="eastAsia"/>
          <w:bCs/>
          <w:sz w:val="24"/>
        </w:rPr>
        <w:t>（二）</w:t>
      </w:r>
      <w:r>
        <w:rPr>
          <w:bCs/>
          <w:sz w:val="24"/>
        </w:rPr>
        <w:t>会议召集人及召集方式</w:t>
      </w:r>
    </w:p>
    <w:p>
      <w:pPr>
        <w:spacing w:line="360" w:lineRule="auto"/>
        <w:ind w:firstLine="480" w:firstLineChars="200"/>
        <w:rPr>
          <w:bCs/>
          <w:sz w:val="24"/>
        </w:rPr>
      </w:pPr>
      <w:r>
        <w:rPr>
          <w:bCs/>
          <w:sz w:val="24"/>
        </w:rPr>
        <w:t>1、除法律法规规定或《基金合同》另有约定外，基金份额持有人大会由基金管理人召集</w:t>
      </w:r>
      <w:r>
        <w:rPr>
          <w:rFonts w:hint="eastAsia"/>
          <w:bCs/>
          <w:sz w:val="24"/>
        </w:rPr>
        <w:t>。</w:t>
      </w:r>
    </w:p>
    <w:p>
      <w:pPr>
        <w:spacing w:line="360" w:lineRule="auto"/>
        <w:ind w:firstLine="480" w:firstLineChars="200"/>
        <w:rPr>
          <w:bCs/>
          <w:sz w:val="24"/>
        </w:rPr>
      </w:pPr>
      <w:r>
        <w:rPr>
          <w:bCs/>
          <w:sz w:val="24"/>
        </w:rPr>
        <w:t>2、基金管理人未按规定召集或不能召集时，由基金托管人召集</w:t>
      </w:r>
      <w:r>
        <w:rPr>
          <w:rFonts w:hint="eastAsia"/>
          <w:bCs/>
          <w:sz w:val="24"/>
        </w:rPr>
        <w:t>。</w:t>
      </w:r>
    </w:p>
    <w:p>
      <w:pPr>
        <w:spacing w:line="360" w:lineRule="auto"/>
        <w:ind w:firstLine="480" w:firstLineChars="200"/>
        <w:rPr>
          <w:bCs/>
          <w:sz w:val="24"/>
        </w:rPr>
      </w:pPr>
      <w:r>
        <w:rPr>
          <w:bCs/>
          <w:sz w:val="24"/>
        </w:rPr>
        <w:t>3、基金托管人认为有必要召开基金份额持有人大会的，应当向基金管理人提出书面提议。基金管理人应当自收到书面提议之日起 10日内决定是否召集，并书面告知基金托管人。基金管理人决定召集的，应当自出具书面决定之日起</w:t>
      </w:r>
    </w:p>
    <w:p>
      <w:pPr>
        <w:spacing w:line="360" w:lineRule="auto"/>
        <w:rPr>
          <w:bCs/>
          <w:sz w:val="24"/>
        </w:rPr>
      </w:pPr>
      <w:r>
        <w:rPr>
          <w:bCs/>
          <w:sz w:val="24"/>
        </w:rPr>
        <w:t>60日内召开；基金管理人决定不召集，基金托管人仍认为有必要召开的，应当由基金托管人自行召集</w:t>
      </w:r>
      <w:r>
        <w:rPr>
          <w:rFonts w:hint="eastAsia"/>
          <w:bCs/>
          <w:sz w:val="24"/>
        </w:rPr>
        <w:t>，并自出具书面决定之日起60日内召开并告知基金管理人，基金管理人应当配合</w:t>
      </w:r>
      <w:r>
        <w:rPr>
          <w:bCs/>
          <w:sz w:val="24"/>
        </w:rPr>
        <w:t>。</w:t>
      </w:r>
    </w:p>
    <w:p>
      <w:pPr>
        <w:spacing w:line="360" w:lineRule="auto"/>
        <w:ind w:firstLine="480" w:firstLineChars="200"/>
        <w:rPr>
          <w:bCs/>
          <w:sz w:val="24"/>
        </w:rPr>
      </w:pPr>
      <w:r>
        <w:rPr>
          <w:bCs/>
          <w:sz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w:t>
      </w:r>
    </w:p>
    <w:p>
      <w:pPr>
        <w:spacing w:line="360" w:lineRule="auto"/>
        <w:rPr>
          <w:bCs/>
          <w:sz w:val="24"/>
        </w:rPr>
      </w:pPr>
      <w:r>
        <w:rPr>
          <w:bCs/>
          <w:sz w:val="24"/>
        </w:rPr>
        <w:t>60日内召开；基金管理人决定不召集，</w:t>
      </w:r>
      <w:r>
        <w:rPr>
          <w:rFonts w:hint="eastAsia"/>
          <w:bCs/>
          <w:sz w:val="24"/>
        </w:rPr>
        <w:t>单</w:t>
      </w:r>
      <w:r>
        <w:rPr>
          <w:bCs/>
          <w:sz w:val="24"/>
        </w:rPr>
        <w:t>独或合计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w:t>
      </w:r>
    </w:p>
    <w:p>
      <w:pPr>
        <w:spacing w:line="360" w:lineRule="auto"/>
        <w:ind w:firstLine="480" w:firstLineChars="200"/>
        <w:rPr>
          <w:bCs/>
          <w:sz w:val="24"/>
        </w:rPr>
      </w:pPr>
      <w:r>
        <w:rPr>
          <w:bCs/>
          <w:sz w:val="24"/>
        </w:rPr>
        <w:t>5、</w:t>
      </w:r>
      <w:r>
        <w:rPr>
          <w:rFonts w:hint="eastAsia" w:ascii="宋体" w:hAnsi="宋体"/>
          <w:bCs/>
          <w:sz w:val="24"/>
        </w:rPr>
        <w:t>单独或合计</w:t>
      </w:r>
      <w:r>
        <w:rPr>
          <w:bCs/>
          <w:sz w:val="24"/>
        </w:rPr>
        <w:t>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pPr>
        <w:spacing w:line="360" w:lineRule="auto"/>
        <w:ind w:firstLine="480" w:firstLineChars="200"/>
        <w:rPr>
          <w:bCs/>
          <w:sz w:val="24"/>
        </w:rPr>
      </w:pPr>
      <w:r>
        <w:rPr>
          <w:bCs/>
          <w:sz w:val="24"/>
        </w:rPr>
        <w:t>6、基金份额持有人会议的召集人负责选择确定开会时间、地点、方式和权益登记日。</w:t>
      </w:r>
    </w:p>
    <w:p>
      <w:pPr>
        <w:spacing w:line="360" w:lineRule="auto"/>
        <w:ind w:firstLine="480" w:firstLineChars="200"/>
        <w:rPr>
          <w:bCs/>
          <w:sz w:val="24"/>
        </w:rPr>
      </w:pPr>
      <w:r>
        <w:rPr>
          <w:rFonts w:hint="eastAsia"/>
          <w:bCs/>
          <w:sz w:val="24"/>
        </w:rPr>
        <w:t>三、</w:t>
      </w:r>
      <w:r>
        <w:rPr>
          <w:bCs/>
          <w:sz w:val="24"/>
        </w:rPr>
        <w:t>召开基金份额持有人大会的通知时间、通知内容、通知方式</w:t>
      </w:r>
    </w:p>
    <w:p>
      <w:pPr>
        <w:spacing w:line="360" w:lineRule="auto"/>
        <w:ind w:firstLine="480" w:firstLineChars="200"/>
        <w:rPr>
          <w:bCs/>
          <w:sz w:val="24"/>
        </w:rPr>
      </w:pPr>
      <w:r>
        <w:rPr>
          <w:bCs/>
          <w:sz w:val="24"/>
        </w:rPr>
        <w:t>1、召开基金份额持有人大会，召集人应于会议召开前30日，在指定媒介公告。基金份额持有人大会通知应至少载明以下内容：</w:t>
      </w:r>
    </w:p>
    <w:p>
      <w:pPr>
        <w:spacing w:line="360" w:lineRule="auto"/>
        <w:ind w:firstLine="480" w:firstLineChars="200"/>
        <w:rPr>
          <w:bCs/>
          <w:sz w:val="24"/>
        </w:rPr>
      </w:pPr>
      <w:r>
        <w:rPr>
          <w:bCs/>
          <w:sz w:val="24"/>
        </w:rPr>
        <w:t>（1）会议召开的时间、地点和会议形式；</w:t>
      </w:r>
    </w:p>
    <w:p>
      <w:pPr>
        <w:spacing w:line="360" w:lineRule="auto"/>
        <w:ind w:firstLine="480" w:firstLineChars="200"/>
        <w:rPr>
          <w:bCs/>
          <w:sz w:val="24"/>
        </w:rPr>
      </w:pPr>
      <w:r>
        <w:rPr>
          <w:bCs/>
          <w:sz w:val="24"/>
        </w:rPr>
        <w:t>（2）会议拟审议的事项、议事程序和表决方式；</w:t>
      </w:r>
    </w:p>
    <w:p>
      <w:pPr>
        <w:spacing w:line="360" w:lineRule="auto"/>
        <w:ind w:firstLine="480" w:firstLineChars="200"/>
        <w:rPr>
          <w:bCs/>
          <w:sz w:val="24"/>
        </w:rPr>
      </w:pPr>
      <w:r>
        <w:rPr>
          <w:bCs/>
          <w:sz w:val="24"/>
        </w:rPr>
        <w:t>（3）有权出席基金份额持有人大会的基金份额持有人的权益登记日；</w:t>
      </w:r>
    </w:p>
    <w:p>
      <w:pPr>
        <w:spacing w:line="360" w:lineRule="auto"/>
        <w:ind w:firstLine="480" w:firstLineChars="200"/>
        <w:rPr>
          <w:bCs/>
          <w:sz w:val="24"/>
        </w:rPr>
      </w:pPr>
      <w:r>
        <w:rPr>
          <w:bCs/>
          <w:sz w:val="24"/>
        </w:rPr>
        <w:t>（4）授权委托证明的内容要求（包括但不限于代理人身份，代理权限和代理有效期限等）、送达时间和地点;</w:t>
      </w:r>
    </w:p>
    <w:p>
      <w:pPr>
        <w:spacing w:line="360" w:lineRule="auto"/>
        <w:ind w:firstLine="480" w:firstLineChars="200"/>
        <w:rPr>
          <w:bCs/>
          <w:sz w:val="24"/>
        </w:rPr>
      </w:pPr>
      <w:r>
        <w:rPr>
          <w:bCs/>
          <w:sz w:val="24"/>
        </w:rPr>
        <w:t>（5）会务常设联系人姓名及联系电话；</w:t>
      </w:r>
    </w:p>
    <w:p>
      <w:pPr>
        <w:spacing w:line="360" w:lineRule="auto"/>
        <w:ind w:firstLine="480" w:firstLineChars="200"/>
        <w:rPr>
          <w:bCs/>
          <w:sz w:val="24"/>
        </w:rPr>
      </w:pPr>
      <w:r>
        <w:rPr>
          <w:bCs/>
          <w:sz w:val="24"/>
        </w:rPr>
        <w:t>（6）出席会议者必须准备的文件和必须履行的手续；</w:t>
      </w:r>
    </w:p>
    <w:p>
      <w:pPr>
        <w:spacing w:line="360" w:lineRule="auto"/>
        <w:ind w:firstLine="480" w:firstLineChars="200"/>
        <w:rPr>
          <w:bCs/>
          <w:sz w:val="24"/>
        </w:rPr>
      </w:pPr>
      <w:r>
        <w:rPr>
          <w:bCs/>
          <w:sz w:val="24"/>
        </w:rPr>
        <w:t>（7）召集人需要通知的其他事项。</w:t>
      </w:r>
    </w:p>
    <w:p>
      <w:pPr>
        <w:spacing w:line="360" w:lineRule="auto"/>
        <w:ind w:firstLine="480" w:firstLineChars="200"/>
        <w:rPr>
          <w:bCs/>
          <w:sz w:val="24"/>
        </w:rPr>
      </w:pPr>
      <w:r>
        <w:rPr>
          <w:bCs/>
          <w:sz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pPr>
        <w:spacing w:line="360" w:lineRule="auto"/>
        <w:ind w:firstLine="480" w:firstLineChars="200"/>
        <w:rPr>
          <w:bCs/>
          <w:sz w:val="24"/>
        </w:rPr>
      </w:pPr>
      <w:r>
        <w:rPr>
          <w:bCs/>
          <w:sz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p>
    <w:p>
      <w:pPr>
        <w:spacing w:line="360" w:lineRule="auto"/>
        <w:ind w:firstLine="480" w:firstLineChars="200"/>
        <w:rPr>
          <w:bCs/>
          <w:sz w:val="24"/>
        </w:rPr>
      </w:pPr>
      <w:r>
        <w:rPr>
          <w:rFonts w:hint="eastAsia"/>
          <w:bCs/>
          <w:sz w:val="24"/>
        </w:rPr>
        <w:t>四</w:t>
      </w:r>
      <w:r>
        <w:rPr>
          <w:bCs/>
          <w:sz w:val="24"/>
        </w:rPr>
        <w:t>、基金份额持有人出席会议的方式</w:t>
      </w:r>
    </w:p>
    <w:p>
      <w:pPr>
        <w:spacing w:line="360" w:lineRule="auto"/>
        <w:ind w:firstLine="480" w:firstLineChars="20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pPr>
        <w:spacing w:line="360" w:lineRule="auto"/>
        <w:ind w:firstLine="480" w:firstLineChars="200"/>
        <w:rPr>
          <w:bCs/>
          <w:sz w:val="24"/>
        </w:rPr>
      </w:pPr>
      <w:r>
        <w:rPr>
          <w:bCs/>
          <w:sz w:val="24"/>
        </w:rPr>
        <w:t>1、现场开会。由基金份额持有人本人出席或以代理投票授权委托证明委派代表出席，现场开会时基金管理人和基金托管人的授权代表应当列席基金份额持有人大会，基金管理人或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pPr>
        <w:spacing w:line="360" w:lineRule="auto"/>
        <w:ind w:firstLine="480" w:firstLineChars="200"/>
        <w:rPr>
          <w:bCs/>
          <w:sz w:val="24"/>
        </w:rPr>
      </w:pPr>
      <w:r>
        <w:rPr>
          <w:bCs/>
          <w:sz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pPr>
        <w:spacing w:line="360" w:lineRule="auto"/>
        <w:ind w:firstLine="480" w:firstLineChars="200"/>
        <w:rPr>
          <w:bCs/>
          <w:sz w:val="24"/>
        </w:rPr>
      </w:pPr>
      <w:r>
        <w:rPr>
          <w:bCs/>
          <w:sz w:val="24"/>
        </w:rPr>
        <w:t>（2）经核对，汇总到会者出示的在权益登记日持有基金份额的凭证显示，有效的基金份额不少于本基金在权益登记日基金总份额的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pPr>
        <w:spacing w:line="360" w:lineRule="auto"/>
        <w:ind w:firstLine="480" w:firstLineChars="20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pPr>
        <w:spacing w:line="360" w:lineRule="auto"/>
        <w:ind w:firstLine="480" w:firstLineChars="200"/>
        <w:rPr>
          <w:bCs/>
          <w:sz w:val="24"/>
        </w:rPr>
      </w:pPr>
      <w:r>
        <w:rPr>
          <w:bCs/>
          <w:sz w:val="24"/>
        </w:rPr>
        <w:t>2、通讯开会。通讯开会系指基金份额持有人将其对表决事项的投票以书面形式在表决截至日以前送达至召集人指定的地址。通讯开会应以书面方式进行表决。</w:t>
      </w:r>
    </w:p>
    <w:p>
      <w:pPr>
        <w:spacing w:line="360" w:lineRule="auto"/>
        <w:ind w:firstLine="480" w:firstLineChars="200"/>
        <w:rPr>
          <w:bCs/>
          <w:sz w:val="24"/>
        </w:rPr>
      </w:pPr>
      <w:r>
        <w:rPr>
          <w:bCs/>
          <w:sz w:val="24"/>
        </w:rPr>
        <w:t>在同时符合以下条件时，通讯开会的方式视为有效：</w:t>
      </w:r>
    </w:p>
    <w:p>
      <w:pPr>
        <w:spacing w:line="360" w:lineRule="auto"/>
        <w:ind w:firstLine="480" w:firstLineChars="200"/>
        <w:rPr>
          <w:bCs/>
          <w:sz w:val="24"/>
        </w:rPr>
      </w:pPr>
      <w:r>
        <w:rPr>
          <w:bCs/>
          <w:sz w:val="24"/>
        </w:rPr>
        <w:t>（1）会议召集人按《基金合同》约定公布会议通知后，在2个工作日内连续公布相关提示性公告；</w:t>
      </w:r>
    </w:p>
    <w:p>
      <w:pPr>
        <w:spacing w:line="360" w:lineRule="auto"/>
        <w:ind w:firstLine="480" w:firstLineChars="200"/>
        <w:rPr>
          <w:bCs/>
          <w:sz w:val="24"/>
        </w:rPr>
      </w:pPr>
      <w:r>
        <w:rPr>
          <w:bCs/>
          <w:sz w:val="24"/>
        </w:rPr>
        <w:t>（2）召集人按基金合同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pPr>
        <w:spacing w:line="360" w:lineRule="auto"/>
        <w:ind w:firstLine="540" w:firstLineChars="225"/>
        <w:rPr>
          <w:bCs/>
          <w:sz w:val="24"/>
        </w:rPr>
      </w:pPr>
      <w:r>
        <w:rPr>
          <w:bCs/>
          <w:sz w:val="24"/>
        </w:rPr>
        <w:t>（3）本人直接出具书面意见或授权他人代表出具书面意见的，基金份额持有人所持有的基金份额不小于在权益登记日基金总份额的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pPr>
        <w:spacing w:line="360" w:lineRule="auto"/>
        <w:ind w:firstLine="540" w:firstLineChars="225"/>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pPr>
        <w:spacing w:line="360" w:lineRule="auto"/>
        <w:ind w:firstLine="480" w:firstLineChars="200"/>
        <w:rPr>
          <w:bCs/>
          <w:sz w:val="24"/>
        </w:rPr>
      </w:pPr>
      <w:r>
        <w:rPr>
          <w:bCs/>
          <w:sz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pPr>
        <w:spacing w:line="360" w:lineRule="auto"/>
        <w:ind w:firstLine="480" w:firstLineChars="200"/>
        <w:rPr>
          <w:bCs/>
          <w:sz w:val="24"/>
        </w:rPr>
      </w:pPr>
      <w:r>
        <w:rPr>
          <w:rFonts w:hint="eastAsia"/>
          <w:bCs/>
          <w:sz w:val="24"/>
        </w:rPr>
        <w:t>3、在法律法规和监管机关允许的情况下，本基金的基金份额持有人亦可采用其他非书面方式授权其代理人出席基金份额持有人大会，具体方式由会议召集人确定并在会议通知中列明。</w:t>
      </w:r>
    </w:p>
    <w:p>
      <w:pPr>
        <w:spacing w:line="360" w:lineRule="auto"/>
        <w:ind w:firstLine="480" w:firstLineChars="200"/>
        <w:rPr>
          <w:bCs/>
          <w:sz w:val="24"/>
        </w:rPr>
      </w:pPr>
      <w:r>
        <w:rPr>
          <w:rFonts w:hint="eastAsia"/>
          <w:bCs/>
          <w:sz w:val="24"/>
        </w:rPr>
        <w:t>4、在会议召开方式上，本基金亦可采用其他非现场方式或者以现场方式与非现场方式相结合的方式召开基金份额持有人大会，会议程序比照现场开会和通讯方式开会的程序进行。</w:t>
      </w:r>
    </w:p>
    <w:p>
      <w:pPr>
        <w:spacing w:line="360" w:lineRule="auto"/>
        <w:ind w:firstLine="480" w:firstLineChars="200"/>
        <w:rPr>
          <w:bCs/>
          <w:sz w:val="24"/>
        </w:rPr>
      </w:pPr>
      <w:r>
        <w:rPr>
          <w:rFonts w:hint="eastAsia"/>
          <w:bCs/>
          <w:sz w:val="24"/>
        </w:rPr>
        <w:t>五</w:t>
      </w:r>
      <w:r>
        <w:rPr>
          <w:bCs/>
          <w:sz w:val="24"/>
        </w:rPr>
        <w:t>、议事内容与程序</w:t>
      </w:r>
    </w:p>
    <w:p>
      <w:pPr>
        <w:spacing w:line="360" w:lineRule="auto"/>
        <w:ind w:firstLine="480" w:firstLineChars="200"/>
        <w:rPr>
          <w:bCs/>
          <w:sz w:val="24"/>
        </w:rPr>
      </w:pPr>
      <w:r>
        <w:rPr>
          <w:bCs/>
          <w:sz w:val="24"/>
        </w:rPr>
        <w:t>1、议事内容及提案权</w:t>
      </w:r>
    </w:p>
    <w:p>
      <w:pPr>
        <w:spacing w:line="360" w:lineRule="auto"/>
        <w:ind w:firstLine="480" w:firstLineChars="20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pPr>
        <w:spacing w:line="360" w:lineRule="auto"/>
        <w:ind w:firstLine="480" w:firstLineChars="200"/>
        <w:rPr>
          <w:bCs/>
          <w:sz w:val="24"/>
        </w:rPr>
      </w:pPr>
      <w:r>
        <w:rPr>
          <w:bCs/>
          <w:sz w:val="24"/>
        </w:rPr>
        <w:t>基金份额持有人大会的召集人发出召集会议的通知后，对原有提案的修改应当在基金份额持有人大会召开前及时公告。</w:t>
      </w:r>
    </w:p>
    <w:p>
      <w:pPr>
        <w:spacing w:line="360" w:lineRule="auto"/>
        <w:ind w:firstLine="480" w:firstLineChars="200"/>
        <w:rPr>
          <w:bCs/>
          <w:sz w:val="24"/>
        </w:rPr>
      </w:pPr>
      <w:r>
        <w:rPr>
          <w:bCs/>
          <w:sz w:val="24"/>
        </w:rPr>
        <w:t>基金份额持有人大会不得对未事先公告的议事内容进行表决。</w:t>
      </w:r>
    </w:p>
    <w:p>
      <w:pPr>
        <w:spacing w:line="360" w:lineRule="auto"/>
        <w:ind w:firstLine="480" w:firstLineChars="200"/>
        <w:rPr>
          <w:bCs/>
          <w:sz w:val="24"/>
        </w:rPr>
      </w:pPr>
      <w:r>
        <w:rPr>
          <w:bCs/>
          <w:sz w:val="24"/>
        </w:rPr>
        <w:t>2、议事程序</w:t>
      </w:r>
    </w:p>
    <w:p>
      <w:pPr>
        <w:spacing w:line="360" w:lineRule="auto"/>
        <w:ind w:firstLine="480" w:firstLineChars="200"/>
        <w:rPr>
          <w:bCs/>
          <w:sz w:val="24"/>
        </w:rPr>
      </w:pPr>
      <w:r>
        <w:rPr>
          <w:bCs/>
          <w:sz w:val="24"/>
        </w:rPr>
        <w:t>（1）现场开会</w:t>
      </w:r>
    </w:p>
    <w:p>
      <w:pPr>
        <w:spacing w:line="360" w:lineRule="auto"/>
        <w:ind w:firstLine="480" w:firstLineChars="20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）选举产生一名基金份额持有人作为该次基金份额持有人大会的主持人。基金管理人和基金托管人拒不出席或主持基金份额持有人大会，不影响基金份额持有人大会作出的决议的效力。</w:t>
      </w:r>
    </w:p>
    <w:p>
      <w:pPr>
        <w:spacing w:line="360" w:lineRule="auto"/>
        <w:ind w:firstLine="480" w:firstLineChars="200"/>
        <w:rPr>
          <w:bCs/>
          <w:sz w:val="24"/>
        </w:rPr>
      </w:pPr>
      <w:r>
        <w:rPr>
          <w:bCs/>
          <w:sz w:val="24"/>
        </w:rPr>
        <w:t>会议召集人应当制作出席会议人员的签名册。签名册载明参加会议人员姓名（或单位名称）、身份证明文件号码、持有或代表有表决权的基金份额、委托人姓名（或单位名称）和联系方式等事项。</w:t>
      </w:r>
    </w:p>
    <w:p>
      <w:pPr>
        <w:spacing w:line="360" w:lineRule="auto"/>
        <w:ind w:firstLine="480" w:firstLineChars="200"/>
        <w:rPr>
          <w:bCs/>
          <w:sz w:val="24"/>
        </w:rPr>
      </w:pPr>
      <w:r>
        <w:rPr>
          <w:bCs/>
          <w:sz w:val="24"/>
        </w:rPr>
        <w:t>（2）通讯开会</w:t>
      </w:r>
    </w:p>
    <w:p>
      <w:pPr>
        <w:spacing w:line="360" w:lineRule="auto"/>
        <w:ind w:firstLine="480" w:firstLineChars="200"/>
        <w:rPr>
          <w:bCs/>
          <w:sz w:val="24"/>
        </w:rPr>
      </w:pPr>
      <w:r>
        <w:rPr>
          <w:bCs/>
          <w:sz w:val="24"/>
        </w:rPr>
        <w:t>在通讯开会的情况下，首先由召集人提前30日公布提案，在所通知的表决截止日期后2个工作日内在公证机关监督下由召集人统计全部有效表决，在公证机关监督下形成决议。</w:t>
      </w:r>
    </w:p>
    <w:p>
      <w:pPr>
        <w:spacing w:line="360" w:lineRule="auto"/>
        <w:ind w:firstLine="480" w:firstLineChars="200"/>
        <w:rPr>
          <w:bCs/>
          <w:sz w:val="24"/>
        </w:rPr>
      </w:pPr>
      <w:r>
        <w:rPr>
          <w:rFonts w:hint="eastAsia"/>
          <w:bCs/>
          <w:sz w:val="24"/>
        </w:rPr>
        <w:t>六、</w:t>
      </w:r>
      <w:r>
        <w:rPr>
          <w:bCs/>
          <w:sz w:val="24"/>
        </w:rPr>
        <w:t>表决</w:t>
      </w:r>
    </w:p>
    <w:p>
      <w:pPr>
        <w:spacing w:line="360" w:lineRule="auto"/>
        <w:ind w:firstLine="480" w:firstLineChars="200"/>
        <w:rPr>
          <w:bCs/>
          <w:sz w:val="24"/>
        </w:rPr>
      </w:pPr>
      <w:r>
        <w:rPr>
          <w:bCs/>
          <w:sz w:val="24"/>
        </w:rPr>
        <w:t>基金份额持有人所持</w:t>
      </w:r>
      <w:r>
        <w:rPr>
          <w:rFonts w:hint="eastAsia"/>
          <w:bCs/>
          <w:sz w:val="24"/>
        </w:rPr>
        <w:t>每份</w:t>
      </w:r>
      <w:r>
        <w:rPr>
          <w:bCs/>
          <w:sz w:val="24"/>
        </w:rPr>
        <w:t>基金份额有一票表决权。</w:t>
      </w:r>
    </w:p>
    <w:p>
      <w:pPr>
        <w:spacing w:line="360" w:lineRule="auto"/>
        <w:ind w:firstLine="480" w:firstLineChars="200"/>
        <w:rPr>
          <w:bCs/>
          <w:sz w:val="24"/>
        </w:rPr>
      </w:pPr>
      <w:r>
        <w:rPr>
          <w:bCs/>
          <w:sz w:val="24"/>
        </w:rPr>
        <w:t>基金份额持有人大会决议分为一般决议和特别决议：</w:t>
      </w:r>
    </w:p>
    <w:p>
      <w:pPr>
        <w:spacing w:line="360" w:lineRule="auto"/>
        <w:ind w:firstLine="480" w:firstLineChars="200"/>
        <w:rPr>
          <w:bCs/>
          <w:sz w:val="24"/>
        </w:rPr>
      </w:pPr>
      <w:r>
        <w:rPr>
          <w:bCs/>
          <w:sz w:val="24"/>
        </w:rPr>
        <w:t>1、一般决议，一般决议须经参加大会的基金份额持有人或其代理人所持表决权的</w:t>
      </w:r>
      <w:r>
        <w:rPr>
          <w:rFonts w:hint="eastAsia"/>
          <w:bCs/>
          <w:sz w:val="24"/>
        </w:rPr>
        <w:t>二分之一（含二分之一）以上</w:t>
      </w:r>
      <w:r>
        <w:rPr>
          <w:bCs/>
          <w:sz w:val="24"/>
        </w:rPr>
        <w:t>通过方为有效；除下列第2项所规定的须以特别决议通过事项以外的其他事项均以一般决议的方式通过。</w:t>
      </w:r>
    </w:p>
    <w:p>
      <w:pPr>
        <w:spacing w:line="360" w:lineRule="auto"/>
        <w:ind w:firstLine="480" w:firstLineChars="200"/>
        <w:rPr>
          <w:bCs/>
          <w:sz w:val="24"/>
        </w:rPr>
      </w:pPr>
      <w:r>
        <w:rPr>
          <w:bCs/>
          <w:sz w:val="24"/>
        </w:rPr>
        <w:t>2、特别决议，特别决议应当经参加大会的基金份额持有人或其代理人所持表决权的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pPr>
        <w:spacing w:line="360" w:lineRule="auto"/>
        <w:ind w:firstLine="480" w:firstLineChars="200"/>
        <w:rPr>
          <w:bCs/>
          <w:sz w:val="24"/>
        </w:rPr>
      </w:pPr>
      <w:r>
        <w:rPr>
          <w:bCs/>
          <w:sz w:val="24"/>
        </w:rPr>
        <w:t>基金份额持有人大会采取记名方式进行投票表决。</w:t>
      </w:r>
    </w:p>
    <w:p>
      <w:pPr>
        <w:spacing w:line="360" w:lineRule="auto"/>
        <w:ind w:firstLine="480" w:firstLineChars="200"/>
        <w:rPr>
          <w:bCs/>
          <w:sz w:val="24"/>
        </w:rPr>
      </w:pPr>
      <w:r>
        <w:rPr>
          <w:bCs/>
          <w:sz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pPr>
        <w:spacing w:line="360" w:lineRule="auto"/>
        <w:ind w:firstLine="480" w:firstLineChars="200"/>
        <w:rPr>
          <w:bCs/>
          <w:sz w:val="24"/>
        </w:rPr>
      </w:pPr>
      <w:r>
        <w:rPr>
          <w:bCs/>
          <w:sz w:val="24"/>
        </w:rPr>
        <w:t>基金份额持有人大会的各项提案或同一项提案内并列的各项议题应当分开审议、逐项表决。</w:t>
      </w:r>
    </w:p>
    <w:p>
      <w:pPr>
        <w:spacing w:line="360" w:lineRule="auto"/>
        <w:ind w:firstLine="480" w:firstLineChars="200"/>
        <w:rPr>
          <w:bCs/>
          <w:sz w:val="24"/>
        </w:rPr>
      </w:pPr>
      <w:r>
        <w:rPr>
          <w:rFonts w:hint="eastAsia"/>
          <w:bCs/>
          <w:sz w:val="24"/>
        </w:rPr>
        <w:t>七、</w:t>
      </w:r>
      <w:r>
        <w:rPr>
          <w:bCs/>
          <w:sz w:val="24"/>
        </w:rPr>
        <w:t>计票</w:t>
      </w:r>
    </w:p>
    <w:p>
      <w:pPr>
        <w:spacing w:line="360" w:lineRule="auto"/>
        <w:ind w:firstLine="480" w:firstLineChars="200"/>
        <w:rPr>
          <w:bCs/>
          <w:sz w:val="24"/>
        </w:rPr>
      </w:pPr>
      <w:r>
        <w:rPr>
          <w:bCs/>
          <w:sz w:val="24"/>
        </w:rPr>
        <w:t>1、现场开会</w:t>
      </w:r>
    </w:p>
    <w:p>
      <w:pPr>
        <w:spacing w:line="360" w:lineRule="auto"/>
        <w:ind w:firstLine="480" w:firstLineChars="200"/>
        <w:rPr>
          <w:bCs/>
          <w:sz w:val="24"/>
        </w:rPr>
      </w:pPr>
      <w:r>
        <w:rPr>
          <w:bCs/>
          <w:sz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pPr>
        <w:spacing w:line="360" w:lineRule="auto"/>
        <w:ind w:firstLine="480" w:firstLineChars="200"/>
        <w:rPr>
          <w:bCs/>
          <w:sz w:val="24"/>
        </w:rPr>
      </w:pPr>
      <w:r>
        <w:rPr>
          <w:bCs/>
          <w:sz w:val="24"/>
        </w:rPr>
        <w:t>（2）监票人应当在基金份额持有人表决后立即进行清点并由大会主持人当场公布计票结果。</w:t>
      </w:r>
    </w:p>
    <w:p>
      <w:pPr>
        <w:spacing w:line="360" w:lineRule="auto"/>
        <w:ind w:firstLine="480" w:firstLineChars="200"/>
        <w:rPr>
          <w:bCs/>
          <w:sz w:val="24"/>
        </w:rPr>
      </w:pPr>
      <w:r>
        <w:rPr>
          <w:bCs/>
          <w:sz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pPr>
        <w:spacing w:line="360" w:lineRule="auto"/>
        <w:ind w:firstLine="480" w:firstLineChars="200"/>
        <w:rPr>
          <w:bCs/>
          <w:sz w:val="24"/>
        </w:rPr>
      </w:pPr>
      <w:r>
        <w:rPr>
          <w:bCs/>
          <w:sz w:val="24"/>
        </w:rPr>
        <w:t>（4）计票过程应由公证机关予以公证,基金管理人或基金托管人拒不出席大会的，不影响计票的效力。</w:t>
      </w:r>
    </w:p>
    <w:p>
      <w:pPr>
        <w:spacing w:line="360" w:lineRule="auto"/>
        <w:ind w:firstLine="480" w:firstLineChars="200"/>
        <w:rPr>
          <w:bCs/>
          <w:sz w:val="24"/>
        </w:rPr>
      </w:pPr>
      <w:r>
        <w:rPr>
          <w:bCs/>
          <w:sz w:val="24"/>
        </w:rPr>
        <w:t>2、通讯开会</w:t>
      </w:r>
    </w:p>
    <w:p>
      <w:pPr>
        <w:spacing w:line="360" w:lineRule="auto"/>
        <w:ind w:firstLine="480" w:firstLineChars="20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pPr>
        <w:spacing w:line="360" w:lineRule="auto"/>
        <w:ind w:firstLine="480" w:firstLineChars="200"/>
        <w:rPr>
          <w:bCs/>
          <w:sz w:val="24"/>
        </w:rPr>
      </w:pPr>
      <w:r>
        <w:rPr>
          <w:rFonts w:hint="eastAsia"/>
          <w:bCs/>
          <w:sz w:val="24"/>
        </w:rPr>
        <w:t>八、</w:t>
      </w:r>
      <w:r>
        <w:rPr>
          <w:bCs/>
          <w:sz w:val="24"/>
        </w:rPr>
        <w:t>生效与公告</w:t>
      </w:r>
    </w:p>
    <w:p>
      <w:pPr>
        <w:spacing w:line="360" w:lineRule="auto"/>
        <w:ind w:firstLine="480" w:firstLineChars="200"/>
        <w:rPr>
          <w:bCs/>
          <w:sz w:val="24"/>
        </w:rPr>
      </w:pPr>
      <w:r>
        <w:rPr>
          <w:bCs/>
          <w:sz w:val="24"/>
        </w:rPr>
        <w:t>基金份额持有人大会的决议，召集人应当自通过之日起5日内报中国证监会备案。</w:t>
      </w:r>
    </w:p>
    <w:p>
      <w:pPr>
        <w:spacing w:line="360" w:lineRule="auto"/>
        <w:ind w:firstLine="480" w:firstLineChars="200"/>
        <w:rPr>
          <w:bCs/>
          <w:sz w:val="24"/>
        </w:rPr>
      </w:pPr>
      <w:r>
        <w:rPr>
          <w:bCs/>
          <w:sz w:val="24"/>
        </w:rPr>
        <w:t>基金份额持有人大会的决议自</w:t>
      </w:r>
      <w:r>
        <w:rPr>
          <w:rFonts w:hint="eastAsia"/>
          <w:bCs/>
          <w:sz w:val="24"/>
        </w:rPr>
        <w:t>表决通过</w:t>
      </w:r>
      <w:r>
        <w:rPr>
          <w:bCs/>
          <w:sz w:val="24"/>
        </w:rPr>
        <w:t>之日起生效。</w:t>
      </w:r>
    </w:p>
    <w:p>
      <w:pPr>
        <w:spacing w:line="360" w:lineRule="auto"/>
        <w:ind w:firstLine="480" w:firstLineChars="200"/>
        <w:rPr>
          <w:bCs/>
          <w:sz w:val="24"/>
        </w:rPr>
      </w:pPr>
      <w:r>
        <w:rPr>
          <w:bCs/>
          <w:sz w:val="24"/>
        </w:rPr>
        <w:t>基金份额持有人大会决议自生效之日起 2 个工作日内在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pPr>
        <w:spacing w:line="360" w:lineRule="auto"/>
        <w:ind w:firstLine="480" w:firstLineChars="20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pPr>
        <w:spacing w:line="360" w:lineRule="auto"/>
        <w:ind w:firstLine="480" w:firstLineChars="200"/>
        <w:rPr>
          <w:bCs/>
          <w:sz w:val="24"/>
        </w:rPr>
      </w:pPr>
      <w:r>
        <w:rPr>
          <w:rFonts w:hint="eastAsia"/>
          <w:bCs/>
          <w:sz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pPr>
        <w:spacing w:line="360" w:lineRule="auto"/>
        <w:ind w:firstLine="480" w:firstLineChars="200"/>
        <w:rPr>
          <w:rFonts w:ascii="宋体" w:hAnsi="宋体"/>
          <w:sz w:val="24"/>
        </w:rPr>
      </w:pPr>
      <w:r>
        <w:rPr>
          <w:rFonts w:hint="eastAsia" w:ascii="宋体" w:hAnsi="宋体"/>
          <w:sz w:val="24"/>
        </w:rPr>
        <w:t>（三）</w:t>
      </w:r>
      <w:r>
        <w:rPr>
          <w:rFonts w:ascii="宋体" w:hAnsi="宋体"/>
          <w:sz w:val="24"/>
        </w:rPr>
        <w:t>基金合同解除和终止的事由、程序</w:t>
      </w:r>
    </w:p>
    <w:p>
      <w:pPr>
        <w:spacing w:line="360" w:lineRule="auto"/>
        <w:ind w:firstLine="480" w:firstLineChars="200"/>
        <w:rPr>
          <w:bCs/>
          <w:sz w:val="24"/>
        </w:rPr>
      </w:pPr>
      <w:r>
        <w:rPr>
          <w:bCs/>
          <w:sz w:val="24"/>
        </w:rPr>
        <w:t>一</w:t>
      </w:r>
      <w:r>
        <w:rPr>
          <w:rFonts w:hint="eastAsia"/>
          <w:bCs/>
          <w:sz w:val="24"/>
        </w:rPr>
        <w:t>、</w:t>
      </w:r>
      <w:r>
        <w:rPr>
          <w:bCs/>
          <w:sz w:val="24"/>
        </w:rPr>
        <w:t>《基金合同》的变更</w:t>
      </w:r>
    </w:p>
    <w:p>
      <w:pPr>
        <w:autoSpaceDE w:val="0"/>
        <w:autoSpaceDN w:val="0"/>
        <w:adjustRightInd w:val="0"/>
        <w:spacing w:line="360" w:lineRule="auto"/>
        <w:ind w:firstLine="480" w:firstLineChars="200"/>
        <w:jc w:val="left"/>
        <w:rPr>
          <w:bCs/>
          <w:sz w:val="24"/>
        </w:rPr>
      </w:pPr>
      <w:r>
        <w:rPr>
          <w:bCs/>
          <w:sz w:val="24"/>
        </w:rPr>
        <w:t>1、变更基金合同</w:t>
      </w:r>
      <w:r>
        <w:rPr>
          <w:rFonts w:hint="eastAsia"/>
          <w:bCs/>
          <w:sz w:val="24"/>
        </w:rPr>
        <w:t>涉及</w:t>
      </w:r>
      <w:r>
        <w:rPr>
          <w:bCs/>
          <w:sz w:val="24"/>
        </w:rPr>
        <w:t>法律法规规定或本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pPr>
        <w:spacing w:line="360" w:lineRule="auto"/>
        <w:ind w:firstLine="480" w:firstLineChars="200"/>
        <w:rPr>
          <w:bCs/>
          <w:sz w:val="24"/>
        </w:rPr>
      </w:pPr>
      <w:r>
        <w:rPr>
          <w:bCs/>
          <w:sz w:val="24"/>
        </w:rPr>
        <w:t>2、</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pPr>
        <w:spacing w:line="360" w:lineRule="auto"/>
        <w:ind w:firstLine="480" w:firstLineChars="200"/>
        <w:rPr>
          <w:bCs/>
          <w:sz w:val="24"/>
        </w:rPr>
      </w:pPr>
      <w:r>
        <w:rPr>
          <w:bCs/>
          <w:sz w:val="24"/>
        </w:rPr>
        <w:t>二</w:t>
      </w:r>
      <w:r>
        <w:rPr>
          <w:rFonts w:hint="eastAsia"/>
          <w:bCs/>
          <w:sz w:val="24"/>
        </w:rPr>
        <w:t>、</w:t>
      </w:r>
      <w:r>
        <w:rPr>
          <w:bCs/>
          <w:sz w:val="24"/>
        </w:rPr>
        <w:t>《基金合同》的终止事由</w:t>
      </w:r>
    </w:p>
    <w:p>
      <w:pPr>
        <w:spacing w:line="360" w:lineRule="auto"/>
        <w:ind w:firstLine="480" w:firstLineChars="200"/>
        <w:rPr>
          <w:bCs/>
          <w:sz w:val="24"/>
        </w:rPr>
      </w:pPr>
      <w:r>
        <w:rPr>
          <w:bCs/>
          <w:sz w:val="24"/>
        </w:rPr>
        <w:t>有下列情形之一的，《基金合同》应当终止：</w:t>
      </w:r>
    </w:p>
    <w:p>
      <w:pPr>
        <w:spacing w:line="360" w:lineRule="auto"/>
        <w:ind w:firstLine="480" w:firstLineChars="200"/>
        <w:rPr>
          <w:bCs/>
          <w:sz w:val="24"/>
        </w:rPr>
      </w:pPr>
      <w:r>
        <w:rPr>
          <w:bCs/>
          <w:sz w:val="24"/>
        </w:rPr>
        <w:t>1、基金份额持有人大会决定终止的；</w:t>
      </w:r>
    </w:p>
    <w:p>
      <w:pPr>
        <w:spacing w:line="360" w:lineRule="auto"/>
        <w:ind w:firstLine="480" w:firstLineChars="200"/>
        <w:rPr>
          <w:bCs/>
          <w:sz w:val="24"/>
        </w:rPr>
      </w:pPr>
      <w:r>
        <w:rPr>
          <w:bCs/>
          <w:sz w:val="24"/>
        </w:rPr>
        <w:t>2、基金管理人、基金托管人职责终止，在6个月内没有新基金管理人、新基金托管人承接的；</w:t>
      </w:r>
    </w:p>
    <w:p>
      <w:pPr>
        <w:spacing w:line="360" w:lineRule="auto"/>
        <w:ind w:firstLine="480" w:firstLineChars="200"/>
        <w:rPr>
          <w:bCs/>
          <w:sz w:val="24"/>
        </w:rPr>
      </w:pPr>
      <w:r>
        <w:rPr>
          <w:rFonts w:hint="eastAsia"/>
          <w:bCs/>
          <w:sz w:val="24"/>
        </w:rPr>
        <w:t>3</w:t>
      </w:r>
      <w:r>
        <w:rPr>
          <w:bCs/>
          <w:sz w:val="24"/>
        </w:rPr>
        <w:t>、《基金合同》约定的其他情形；</w:t>
      </w:r>
    </w:p>
    <w:p>
      <w:pPr>
        <w:spacing w:line="360" w:lineRule="auto"/>
        <w:ind w:firstLine="480" w:firstLineChars="200"/>
        <w:rPr>
          <w:bCs/>
          <w:sz w:val="24"/>
        </w:rPr>
      </w:pPr>
      <w:r>
        <w:rPr>
          <w:rFonts w:hint="eastAsia"/>
          <w:bCs/>
          <w:sz w:val="24"/>
        </w:rPr>
        <w:t>4、</w:t>
      </w:r>
      <w:r>
        <w:rPr>
          <w:bCs/>
          <w:sz w:val="24"/>
        </w:rPr>
        <w:t>相关法律法规和中国证监会规定的其他情况。</w:t>
      </w:r>
    </w:p>
    <w:p>
      <w:pPr>
        <w:spacing w:line="360" w:lineRule="auto"/>
        <w:ind w:firstLine="480" w:firstLineChars="200"/>
        <w:rPr>
          <w:bCs/>
          <w:sz w:val="24"/>
        </w:rPr>
      </w:pPr>
      <w:r>
        <w:rPr>
          <w:bCs/>
          <w:sz w:val="24"/>
        </w:rPr>
        <w:t>三</w:t>
      </w:r>
      <w:r>
        <w:rPr>
          <w:rFonts w:hint="eastAsia"/>
          <w:bCs/>
          <w:sz w:val="24"/>
        </w:rPr>
        <w:t>、</w:t>
      </w:r>
      <w:r>
        <w:rPr>
          <w:bCs/>
          <w:sz w:val="24"/>
        </w:rPr>
        <w:t>基金财产的清算</w:t>
      </w:r>
    </w:p>
    <w:p>
      <w:pPr>
        <w:spacing w:line="360" w:lineRule="auto"/>
        <w:ind w:firstLine="480" w:firstLineChars="200"/>
        <w:rPr>
          <w:bCs/>
          <w:sz w:val="24"/>
        </w:rPr>
      </w:pPr>
      <w:r>
        <w:rPr>
          <w:bCs/>
          <w:sz w:val="24"/>
        </w:rPr>
        <w:t>1、基金财产清算小组：自出现《基金合同》终止事由之日起30个工作日内成立清算小组，基金管理人组织基金财产清算小组并在中国证监会的监督下进行基金清算。</w:t>
      </w:r>
    </w:p>
    <w:p>
      <w:pPr>
        <w:spacing w:line="360" w:lineRule="auto"/>
        <w:ind w:firstLine="480" w:firstLineChars="200"/>
        <w:rPr>
          <w:bCs/>
          <w:sz w:val="24"/>
        </w:rPr>
      </w:pPr>
      <w:r>
        <w:rPr>
          <w:bCs/>
          <w:sz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pPr>
        <w:spacing w:line="360" w:lineRule="auto"/>
        <w:ind w:firstLine="480" w:firstLineChars="200"/>
        <w:rPr>
          <w:bCs/>
          <w:sz w:val="24"/>
        </w:rPr>
      </w:pPr>
      <w:r>
        <w:rPr>
          <w:bCs/>
          <w:sz w:val="24"/>
        </w:rPr>
        <w:t>3、基金财产清算小组职责：基金财产清算小组负责基金财产的保管、清理、估价、变现和分配。基金财产清算小组可以依法进行必要的民事活动。</w:t>
      </w:r>
    </w:p>
    <w:p>
      <w:pPr>
        <w:spacing w:line="360" w:lineRule="auto"/>
        <w:ind w:firstLine="480" w:firstLineChars="200"/>
        <w:rPr>
          <w:bCs/>
          <w:sz w:val="24"/>
        </w:rPr>
      </w:pPr>
      <w:r>
        <w:rPr>
          <w:bCs/>
          <w:sz w:val="24"/>
        </w:rPr>
        <w:t>4、基金财产清算程序：</w:t>
      </w:r>
    </w:p>
    <w:p>
      <w:pPr>
        <w:spacing w:line="360" w:lineRule="auto"/>
        <w:ind w:firstLine="480" w:firstLineChars="200"/>
        <w:rPr>
          <w:bCs/>
          <w:sz w:val="24"/>
        </w:rPr>
      </w:pPr>
      <w:r>
        <w:rPr>
          <w:bCs/>
          <w:sz w:val="24"/>
        </w:rPr>
        <w:t>（1）《基金合同》终止情形出现时，由基金财产清算小组统一接管基金；</w:t>
      </w:r>
    </w:p>
    <w:p>
      <w:pPr>
        <w:spacing w:line="360" w:lineRule="auto"/>
        <w:ind w:firstLine="480" w:firstLineChars="200"/>
        <w:rPr>
          <w:bCs/>
          <w:sz w:val="24"/>
        </w:rPr>
      </w:pPr>
      <w:r>
        <w:rPr>
          <w:bCs/>
          <w:sz w:val="24"/>
        </w:rPr>
        <w:t>（2）对基金财产和债权债务进行清理和确认；</w:t>
      </w:r>
    </w:p>
    <w:p>
      <w:pPr>
        <w:spacing w:line="360" w:lineRule="auto"/>
        <w:ind w:firstLine="480" w:firstLineChars="200"/>
        <w:rPr>
          <w:bCs/>
          <w:sz w:val="24"/>
        </w:rPr>
      </w:pPr>
      <w:r>
        <w:rPr>
          <w:bCs/>
          <w:sz w:val="24"/>
        </w:rPr>
        <w:t>（3）对基金财产进行估值和变现；</w:t>
      </w:r>
    </w:p>
    <w:p>
      <w:pPr>
        <w:spacing w:line="360" w:lineRule="auto"/>
        <w:ind w:firstLine="480" w:firstLineChars="200"/>
        <w:rPr>
          <w:bCs/>
          <w:sz w:val="24"/>
        </w:rPr>
      </w:pPr>
      <w:r>
        <w:rPr>
          <w:bCs/>
          <w:sz w:val="24"/>
        </w:rPr>
        <w:t>（4）制作清算报告；</w:t>
      </w:r>
    </w:p>
    <w:p>
      <w:pPr>
        <w:spacing w:line="360" w:lineRule="auto"/>
        <w:ind w:firstLine="480" w:firstLineChars="200"/>
        <w:rPr>
          <w:bCs/>
          <w:sz w:val="24"/>
        </w:rPr>
      </w:pPr>
      <w:r>
        <w:rPr>
          <w:bCs/>
          <w:sz w:val="24"/>
        </w:rPr>
        <w:t>（5）聘请会计师事务所对清算报告进行外部审计，聘请律师事务所对清算报告出具法律意见书；</w:t>
      </w:r>
    </w:p>
    <w:p>
      <w:pPr>
        <w:spacing w:line="360" w:lineRule="auto"/>
        <w:ind w:firstLine="480" w:firstLineChars="200"/>
        <w:rPr>
          <w:bCs/>
          <w:sz w:val="24"/>
        </w:rPr>
      </w:pPr>
      <w:r>
        <w:rPr>
          <w:bCs/>
          <w:sz w:val="24"/>
        </w:rPr>
        <w:t>（6）将清算报告报中国证监会备案并公告</w:t>
      </w:r>
      <w:r>
        <w:rPr>
          <w:rFonts w:hint="eastAsia"/>
          <w:bCs/>
          <w:sz w:val="24"/>
        </w:rPr>
        <w:t>；</w:t>
      </w:r>
    </w:p>
    <w:p>
      <w:pPr>
        <w:spacing w:line="360" w:lineRule="auto"/>
        <w:ind w:firstLine="480" w:firstLineChars="200"/>
        <w:rPr>
          <w:bCs/>
          <w:sz w:val="24"/>
        </w:rPr>
      </w:pPr>
      <w:r>
        <w:rPr>
          <w:bCs/>
          <w:sz w:val="24"/>
        </w:rPr>
        <w:t>（7）对基金</w:t>
      </w:r>
      <w:r>
        <w:rPr>
          <w:rFonts w:hint="eastAsia"/>
          <w:bCs/>
          <w:sz w:val="24"/>
        </w:rPr>
        <w:t>剩余</w:t>
      </w:r>
      <w:r>
        <w:rPr>
          <w:bCs/>
          <w:sz w:val="24"/>
        </w:rPr>
        <w:t>财产进行分配</w:t>
      </w:r>
      <w:r>
        <w:rPr>
          <w:rFonts w:hint="eastAsia"/>
          <w:bCs/>
          <w:sz w:val="24"/>
        </w:rPr>
        <w:t>。</w:t>
      </w:r>
    </w:p>
    <w:p>
      <w:pPr>
        <w:spacing w:line="360" w:lineRule="auto"/>
        <w:ind w:firstLine="480" w:firstLineChars="200"/>
        <w:rPr>
          <w:bCs/>
          <w:sz w:val="24"/>
        </w:rPr>
      </w:pPr>
      <w:r>
        <w:rPr>
          <w:bCs/>
          <w:sz w:val="24"/>
        </w:rPr>
        <w:t>5、基金财产清算的期限为6个月</w:t>
      </w:r>
      <w:r>
        <w:rPr>
          <w:rFonts w:hint="eastAsia"/>
          <w:bCs/>
          <w:sz w:val="24"/>
        </w:rPr>
        <w:t>，但因本基金所持证券的流动性受到限制而不能及时变现的，清算期限相应顺延</w:t>
      </w:r>
      <w:r>
        <w:rPr>
          <w:bCs/>
          <w:sz w:val="24"/>
        </w:rPr>
        <w:t>。</w:t>
      </w:r>
    </w:p>
    <w:p>
      <w:pPr>
        <w:spacing w:line="360" w:lineRule="auto"/>
        <w:ind w:firstLine="480" w:firstLineChars="200"/>
        <w:rPr>
          <w:bCs/>
          <w:sz w:val="24"/>
        </w:rPr>
      </w:pPr>
      <w:r>
        <w:rPr>
          <w:bCs/>
          <w:sz w:val="24"/>
        </w:rPr>
        <w:t>四</w:t>
      </w:r>
      <w:r>
        <w:rPr>
          <w:rFonts w:hint="eastAsia"/>
          <w:bCs/>
          <w:sz w:val="24"/>
        </w:rPr>
        <w:t>、</w:t>
      </w:r>
      <w:r>
        <w:rPr>
          <w:bCs/>
          <w:sz w:val="24"/>
        </w:rPr>
        <w:t>清算费用</w:t>
      </w:r>
    </w:p>
    <w:p>
      <w:pPr>
        <w:spacing w:line="360" w:lineRule="auto"/>
        <w:ind w:firstLine="480" w:firstLineChars="200"/>
        <w:rPr>
          <w:bCs/>
          <w:sz w:val="24"/>
        </w:rPr>
      </w:pPr>
      <w:r>
        <w:rPr>
          <w:bCs/>
          <w:sz w:val="24"/>
        </w:rPr>
        <w:t>清算费用是指基金财产清算小组在进行基金清算过程中发生的所有合理费用，清算费用由基金财产清算小组优先从基金财产中支付。</w:t>
      </w:r>
    </w:p>
    <w:p>
      <w:pPr>
        <w:spacing w:line="360" w:lineRule="auto"/>
        <w:ind w:firstLine="480" w:firstLineChars="200"/>
        <w:rPr>
          <w:bCs/>
          <w:sz w:val="24"/>
        </w:rPr>
      </w:pPr>
      <w:r>
        <w:rPr>
          <w:bCs/>
          <w:sz w:val="24"/>
        </w:rPr>
        <w:t>五</w:t>
      </w:r>
      <w:r>
        <w:rPr>
          <w:rFonts w:hint="eastAsia"/>
          <w:bCs/>
          <w:sz w:val="24"/>
        </w:rPr>
        <w:t>、</w:t>
      </w:r>
      <w:r>
        <w:rPr>
          <w:bCs/>
          <w:sz w:val="24"/>
        </w:rPr>
        <w:t>基金财产清算剩余资产的分配</w:t>
      </w:r>
    </w:p>
    <w:p>
      <w:pPr>
        <w:spacing w:line="360" w:lineRule="auto"/>
        <w:ind w:firstLine="480" w:firstLineChars="20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pPr>
        <w:spacing w:line="360" w:lineRule="auto"/>
        <w:ind w:firstLine="480" w:firstLineChars="200"/>
        <w:rPr>
          <w:bCs/>
          <w:sz w:val="24"/>
        </w:rPr>
      </w:pPr>
      <w:r>
        <w:rPr>
          <w:bCs/>
          <w:sz w:val="24"/>
        </w:rPr>
        <w:t>六</w:t>
      </w:r>
      <w:r>
        <w:rPr>
          <w:rFonts w:hint="eastAsia"/>
          <w:bCs/>
          <w:sz w:val="24"/>
        </w:rPr>
        <w:t>、</w:t>
      </w:r>
      <w:r>
        <w:rPr>
          <w:bCs/>
          <w:sz w:val="24"/>
        </w:rPr>
        <w:t>基金财产清算的公告</w:t>
      </w:r>
    </w:p>
    <w:p>
      <w:pPr>
        <w:spacing w:line="360" w:lineRule="auto"/>
        <w:ind w:firstLine="480" w:firstLineChars="200"/>
        <w:rPr>
          <w:bCs/>
          <w:sz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p>
      <w:pPr>
        <w:spacing w:line="360" w:lineRule="auto"/>
        <w:ind w:firstLine="480" w:firstLineChars="200"/>
        <w:rPr>
          <w:bCs/>
          <w:sz w:val="24"/>
        </w:rPr>
      </w:pPr>
      <w:r>
        <w:rPr>
          <w:bCs/>
          <w:sz w:val="24"/>
        </w:rPr>
        <w:t>七</w:t>
      </w:r>
      <w:r>
        <w:rPr>
          <w:rFonts w:hint="eastAsia"/>
          <w:bCs/>
          <w:sz w:val="24"/>
        </w:rPr>
        <w:t>、</w:t>
      </w:r>
      <w:r>
        <w:rPr>
          <w:bCs/>
          <w:sz w:val="24"/>
        </w:rPr>
        <w:t>基金财产清算账册及文件的保存</w:t>
      </w:r>
    </w:p>
    <w:p>
      <w:pPr>
        <w:spacing w:line="360" w:lineRule="auto"/>
        <w:ind w:firstLine="480" w:firstLineChars="200"/>
        <w:rPr>
          <w:bCs/>
          <w:sz w:val="24"/>
        </w:rPr>
      </w:pPr>
      <w:r>
        <w:rPr>
          <w:bCs/>
          <w:sz w:val="24"/>
        </w:rPr>
        <w:t>基金财产清算账册及有关文件由基金托管人保存15年以上。</w:t>
      </w:r>
    </w:p>
    <w:p>
      <w:pPr>
        <w:spacing w:line="360" w:lineRule="auto"/>
        <w:ind w:firstLine="422" w:firstLineChars="176"/>
        <w:rPr>
          <w:rFonts w:ascii="宋体" w:hAnsi="宋体"/>
          <w:sz w:val="24"/>
        </w:rPr>
      </w:pPr>
      <w:r>
        <w:rPr>
          <w:rFonts w:hint="eastAsia" w:ascii="宋体" w:hAnsi="宋体"/>
          <w:sz w:val="24"/>
        </w:rPr>
        <w:t>（四）争议解决方式</w:t>
      </w:r>
    </w:p>
    <w:p>
      <w:pPr>
        <w:spacing w:line="360" w:lineRule="auto"/>
        <w:ind w:firstLine="480" w:firstLineChars="20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hint="eastAsia" w:ascii="宋体" w:hAnsi="宋体"/>
          <w:kern w:val="0"/>
          <w:sz w:val="24"/>
        </w:rPr>
        <w:t>华南国际</w:t>
      </w:r>
      <w:r>
        <w:rPr>
          <w:rFonts w:ascii="宋体" w:hAnsi="宋体"/>
          <w:kern w:val="0"/>
          <w:sz w:val="24"/>
        </w:rPr>
        <w:t>经济贸易仲裁委员会</w:t>
      </w:r>
      <w:r>
        <w:rPr>
          <w:rFonts w:hint="eastAsia" w:ascii="宋体" w:hAnsi="宋体"/>
          <w:kern w:val="0"/>
          <w:sz w:val="24"/>
        </w:rPr>
        <w:t>，根据该会当时有效的仲裁规则进行仲裁，仲裁的地点为深圳市，仲裁裁决是终局的，并对相关各方当事人均有约束力。仲裁费用、律师费用由败诉方承担。</w:t>
      </w:r>
    </w:p>
    <w:p>
      <w:pPr>
        <w:spacing w:line="360" w:lineRule="auto"/>
        <w:ind w:firstLine="480" w:firstLineChars="200"/>
        <w:rPr>
          <w:rFonts w:ascii="宋体" w:hAnsi="宋体"/>
          <w:kern w:val="0"/>
          <w:sz w:val="24"/>
        </w:rPr>
      </w:pPr>
      <w:r>
        <w:rPr>
          <w:rFonts w:hint="eastAsia" w:ascii="宋体" w:hAnsi="宋体"/>
          <w:kern w:val="0"/>
          <w:sz w:val="24"/>
        </w:rPr>
        <w:t>争议处理期间，相关各方当事人应恪守基金管理人和基金托管人职责，继续忠实、勤勉、尽责地履行基金合同规定的义务，维护基金份额持有人的合法权益。</w:t>
      </w:r>
    </w:p>
    <w:p>
      <w:pPr>
        <w:spacing w:line="360" w:lineRule="auto"/>
        <w:ind w:firstLine="480" w:firstLineChars="200"/>
        <w:rPr>
          <w:bCs/>
          <w:sz w:val="24"/>
        </w:rPr>
      </w:pPr>
      <w:r>
        <w:rPr>
          <w:bCs/>
          <w:sz w:val="24"/>
        </w:rPr>
        <w:t>《基金合同》受中国法律管辖。</w:t>
      </w:r>
    </w:p>
    <w:p>
      <w:pPr>
        <w:spacing w:line="360" w:lineRule="auto"/>
        <w:ind w:firstLine="480" w:firstLineChars="200"/>
        <w:rPr>
          <w:rFonts w:ascii="宋体" w:hAnsi="宋体"/>
          <w:sz w:val="24"/>
        </w:rPr>
      </w:pPr>
      <w:r>
        <w:rPr>
          <w:rFonts w:hint="eastAsia" w:ascii="宋体" w:hAnsi="宋体"/>
          <w:sz w:val="24"/>
        </w:rPr>
        <w:t>（五）基金合同存放地和投资人取得基金合同的方式</w:t>
      </w:r>
    </w:p>
    <w:p>
      <w:pPr>
        <w:spacing w:line="360" w:lineRule="auto"/>
        <w:ind w:firstLine="480" w:firstLineChars="200"/>
        <w:rPr>
          <w:rFonts w:ascii="宋体" w:hAnsi="宋体"/>
          <w:color w:val="000000"/>
          <w:kern w:val="0"/>
          <w:sz w:val="24"/>
        </w:rPr>
      </w:pPr>
      <w:r>
        <w:rPr>
          <w:bCs/>
          <w:sz w:val="24"/>
        </w:rPr>
        <w:t>《基金合同》可印制成册，供投资者在基金管理人、基金托管人、销售机构的办公场所和营业场所查阅。</w:t>
      </w:r>
    </w:p>
    <w:p>
      <w:pPr>
        <w:spacing w:line="360" w:lineRule="auto"/>
        <w:ind w:firstLine="480" w:firstLineChars="200"/>
        <w:rPr>
          <w:rFonts w:ascii="宋体" w:hAnsi="宋体"/>
          <w:color w:val="000000"/>
          <w:kern w:val="0"/>
          <w:sz w:val="24"/>
        </w:rPr>
      </w:pPr>
    </w:p>
    <w:p>
      <w:pPr>
        <w:pStyle w:val="2"/>
        <w:spacing w:line="360" w:lineRule="auto"/>
        <w:jc w:val="center"/>
        <w:rPr>
          <w:rFonts w:ascii="宋体" w:hAnsi="宋体"/>
          <w:color w:val="000000"/>
          <w:kern w:val="0"/>
          <w:sz w:val="24"/>
          <w:szCs w:val="24"/>
        </w:rPr>
      </w:pPr>
      <w:bookmarkStart w:id="131" w:name="_Hlt88897298"/>
      <w:bookmarkEnd w:id="131"/>
      <w:bookmarkStart w:id="132" w:name="_Hlt88825574"/>
      <w:bookmarkEnd w:id="132"/>
      <w:bookmarkStart w:id="133" w:name="_Hlt88820702"/>
      <w:bookmarkEnd w:id="133"/>
      <w:r>
        <w:rPr>
          <w:rFonts w:ascii="宋体" w:hAnsi="宋体"/>
          <w:color w:val="000000"/>
          <w:kern w:val="0"/>
          <w:sz w:val="24"/>
        </w:rPr>
        <w:br w:type="page"/>
      </w:r>
      <w:bookmarkStart w:id="134" w:name="_Toc256666927"/>
      <w:bookmarkStart w:id="135" w:name="_Toc256666807"/>
      <w:bookmarkStart w:id="136" w:name="_Toc482624808"/>
      <w:bookmarkStart w:id="137" w:name="_Toc27371"/>
      <w:bookmarkStart w:id="138" w:name="_Toc31339"/>
      <w:r>
        <w:rPr>
          <w:rFonts w:hint="eastAsia" w:ascii="宋体" w:hAnsi="宋体"/>
          <w:color w:val="000000"/>
          <w:kern w:val="0"/>
          <w:sz w:val="24"/>
          <w:szCs w:val="24"/>
        </w:rPr>
        <w:t>第十九部分  基金托管协议的内容摘要</w:t>
      </w:r>
      <w:bookmarkEnd w:id="134"/>
      <w:bookmarkEnd w:id="135"/>
      <w:bookmarkEnd w:id="136"/>
      <w:bookmarkEnd w:id="137"/>
      <w:bookmarkEnd w:id="138"/>
    </w:p>
    <w:p>
      <w:pPr>
        <w:spacing w:line="360" w:lineRule="auto"/>
        <w:ind w:firstLine="480" w:firstLineChars="200"/>
        <w:rPr>
          <w:rFonts w:ascii="宋体" w:hAnsi="宋体"/>
          <w:color w:val="000000"/>
          <w:kern w:val="0"/>
          <w:sz w:val="24"/>
        </w:rPr>
      </w:pPr>
      <w:r>
        <w:rPr>
          <w:rFonts w:hint="eastAsia" w:ascii="宋体" w:hAnsi="宋体"/>
          <w:color w:val="000000"/>
          <w:kern w:val="0"/>
          <w:sz w:val="24"/>
        </w:rPr>
        <w:t>（一）托管协议当事人</w:t>
      </w:r>
    </w:p>
    <w:p>
      <w:pPr>
        <w:spacing w:line="360" w:lineRule="auto"/>
        <w:ind w:firstLine="480" w:firstLineChars="200"/>
        <w:rPr>
          <w:rFonts w:ascii="宋体" w:hAnsi="宋体"/>
          <w:color w:val="000000"/>
          <w:kern w:val="0"/>
          <w:sz w:val="24"/>
        </w:rPr>
      </w:pPr>
      <w:bookmarkStart w:id="139" w:name="_Toc88969332"/>
      <w:r>
        <w:rPr>
          <w:rFonts w:hint="eastAsia" w:ascii="宋体" w:hAnsi="宋体"/>
          <w:color w:val="000000"/>
          <w:kern w:val="0"/>
          <w:sz w:val="24"/>
        </w:rPr>
        <w:t>1、基金管理人</w:t>
      </w:r>
      <w:bookmarkEnd w:id="139"/>
    </w:p>
    <w:p>
      <w:pPr>
        <w:spacing w:line="360" w:lineRule="auto"/>
        <w:ind w:firstLine="480" w:firstLineChars="200"/>
        <w:rPr>
          <w:rFonts w:ascii="宋体" w:hAnsi="宋体"/>
          <w:color w:val="000000"/>
          <w:kern w:val="0"/>
          <w:sz w:val="24"/>
        </w:rPr>
      </w:pPr>
      <w:bookmarkStart w:id="140" w:name="_Toc15118236"/>
      <w:bookmarkStart w:id="141" w:name="_Toc88969333"/>
      <w:r>
        <w:rPr>
          <w:rFonts w:hint="eastAsia" w:ascii="宋体" w:hAnsi="宋体"/>
          <w:color w:val="000000"/>
          <w:kern w:val="0"/>
          <w:sz w:val="24"/>
        </w:rPr>
        <w:t>名称：富荣基金管理有限公司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注册地址：广州市南沙区海滨路171号南沙金融大厦11楼1101之一J20室</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办公地址：深圳市福田区深南大道2012号深圳证券交易所广场3501室</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邮政编码：518038</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法定代表人：刘志军</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成立日期：2016年1月25日</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批准设立机关及批准设立文号：中国证券监督管理委员会、证监许可【2015】3118号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组织形式：有限责任公司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注册资本： 2亿元人民币</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存续期间：永续经营</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经营范围：基金募集；基金销售；资产管理以及中国证监会许可的其它业务</w:t>
      </w:r>
      <w:bookmarkEnd w:id="140"/>
    </w:p>
    <w:p>
      <w:pPr>
        <w:spacing w:line="360" w:lineRule="auto"/>
        <w:ind w:firstLine="480" w:firstLineChars="200"/>
        <w:rPr>
          <w:rFonts w:ascii="宋体" w:hAnsi="宋体"/>
          <w:color w:val="000000"/>
          <w:kern w:val="0"/>
          <w:sz w:val="24"/>
        </w:rPr>
      </w:pPr>
      <w:r>
        <w:rPr>
          <w:rFonts w:ascii="宋体" w:hAnsi="宋体"/>
          <w:color w:val="000000"/>
          <w:kern w:val="0"/>
          <w:sz w:val="24"/>
        </w:rPr>
        <w:t>2</w:t>
      </w:r>
      <w:r>
        <w:rPr>
          <w:rFonts w:hint="eastAsia" w:ascii="宋体" w:hAnsi="宋体"/>
          <w:color w:val="000000"/>
          <w:kern w:val="0"/>
          <w:sz w:val="24"/>
        </w:rPr>
        <w:t>、基金托管人</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名称：中国光大银行股份有限公司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住所：北京市西城区太平桥大街25号中国光大中心</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法定代表人：唐双宁</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成立时间：1992年8月18日</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批准设立机关和批准设立文号：国务院、国函[1992]7号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注册资本：人民币466.79095亿元</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存续期间：持续经营</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基金托管资格批文及文号：证监基金字【2002】75号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联系电话:010-63636363</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（二）基金托管人对基金管理人的业务监督和核查</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1、基金托管人根据有关法律法规的规定及基金合同的约定，对基金投资范围、投资比例进行监督。</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如法律法规或监管机构以后允许货币市场基金投资其他产品，基金管理人在履行适当的程序后，可以将其纳入投资范围。</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2、基金托管人根据有关法律法规的规定及基金合同的约定，对基金投资、融资比例进行监督。基金托管人按下述比例和调整期限进行监督：</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1、组合限制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基金的投资组合应遵循以下限制：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（1）本基金投资组合的平均剩余期限在每个交易日均不得超过120天，平均剩余存续期不得超过240 天；</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（2）本基金与由基金管理人管理的其他基金持有一家公司发行的证券，不得超过该证券的10%；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（3）本基金投资于固定期限银行存款的比例不得超过基金资产净值的30%，但根据协议可提前支取的银行存款，不受此限制；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（5）本基金持有一家公司发行的证券，其市值不超过基金资产净值的10％；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本基金管理人管理的全部基金投资于同一原始权益人的各类资产支持证券，不得超过其各类资产支持证券合计规模的10%；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（7）除发生巨额赎回、连续3 个交易日累计赎回20%以上或者连续5 个交易日累计赎回30%以上的情形外，本基金债券正回购的资金余额在每个交易日均不得超过基金资产净值的20%；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（8）本基金的基金资产总值不得超过基金资产净值的140%；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（9）同一机构发行的债券、非金融企业债务融资工具及其作为原始权益人的资产支持证券占基金资产净值的比例合计不得超过10%，国债、中央银行票据、政策性金融债券除外；</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（10）现金、国债、中央银行票据、政策性金融债券占基金资产净值的比例合计不得低于5%；</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（11）现金、国债、中央银行票据、政策性金融债券以及五个交易日内到期的其他金融工具占基金资产净值的比例合计不得低于10%；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（12）到期日在10 个交易日以上的逆回购、银行定期存款等流动性受限资产投资占基金资产净值的比例合计不得超过30%；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（13）在全国银行间债券市场债券回购的资金余额不得超过基金资产净值的40%；债券回购最长期限为1年，债券回购到期后不得展期；</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（16）法律法规及中国证监会规定的和《基金合同》约定的其他投资限制。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除上述第（1）</w:t>
      </w:r>
      <w:r>
        <w:rPr>
          <w:rFonts w:ascii="宋体" w:hAnsi="宋体"/>
          <w:color w:val="000000"/>
          <w:kern w:val="0"/>
          <w:sz w:val="24"/>
        </w:rPr>
        <w:t>、</w:t>
      </w:r>
      <w:r>
        <w:rPr>
          <w:rFonts w:hint="eastAsia" w:ascii="宋体" w:hAnsi="宋体"/>
          <w:color w:val="000000"/>
          <w:kern w:val="0"/>
          <w:sz w:val="24"/>
        </w:rPr>
        <w:t>（10）、（14）条外，因基金规模或市场变化导致本基金投资组合不符合以上比例限制的，基金管理人应在10个交易日内调整完毕，以达到上述标准，但中国证监会规定的特殊情形除外。法律法规另有规定时，从其规定。</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法律法规或监管部门调整上述限制，则本基金投资将按照调整后的规则执行。</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2、本基金不得投资于以下金融工具：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（1）股票和权证；</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（2）可转换债券、可交换债券；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（3）剩余期限超过397天的债券、资产支持证券、非金融企业债务融资工具；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（4）信用等级在AA+级以下的债券与非金融企业债务融资工具；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（5）以定期存款利率为基准利率的浮动利率债券，已进入最后一个利率调整期的除外；</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（6）非在全国银行间债券交易市场或证券交易所交易的资产支持证券；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（7）流通受限证券；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（8）中国证监会、中国人民银行禁止投资的其他金融工具。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如果法律法规或监管部门取消上述限制，则本基金投资不再受相关限制。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基金托管人根据有关法律法规的规定及基金合同的约定，对本托管协议第十五条第（十二）款基金投资禁止行为进行监督。</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4、基金托管人根据有关法律法规的规定及基金合同的约定，对基金管理人参与银行间债券市场进行监督。</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8、基金管理人有义务配合和协助基金托管人依照法律法规、基金合同和本托管协议对基金业务执行核查。</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9、若基金托管人发现基金管理人依据交易程序已经生效的指令违反法律、行政法规和其他有关规定，或者违反基金合同约定的，应当立即通知基金管理人。</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10、基金托管人发现基金管理人有重大违规行为，应及时报告中国证监会，同时通知基金管理人限期纠正，并将纠正结果报告中国证监会。</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（三）基金管理人对基金托管人的业务核查</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1、基金管理人对基金托管人履行托管职责情况进行核查，核查事项包括基金托管人安全保管基金财产、开设基金财产的资金账户和证券账户、复核基金管理人计算的基金资产净值和7日年化收益率、每万份基金已实现收益、根据基金管理人指令办理清算交收、相关信息披露和监督基金投资运作等行为。</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3、基金管理人发现基金托管人有重大违规行为，应及时报告中国证监会，同时通知基金托管人限期纠正，并将纠正结果报告中国证监会。</w:t>
      </w:r>
    </w:p>
    <w:p>
      <w:pPr>
        <w:spacing w:line="360" w:lineRule="auto"/>
        <w:ind w:firstLine="480" w:firstLineChars="200"/>
        <w:rPr>
          <w:rFonts w:ascii="宋体" w:hAnsi="宋体"/>
          <w:color w:val="000000"/>
          <w:kern w:val="0"/>
          <w:sz w:val="24"/>
        </w:rPr>
      </w:pPr>
      <w:r>
        <w:rPr>
          <w:rFonts w:hint="eastAsia" w:ascii="宋体" w:hAnsi="宋体"/>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pPr>
        <w:spacing w:line="360" w:lineRule="auto"/>
        <w:ind w:firstLine="480" w:firstLineChars="200"/>
        <w:rPr>
          <w:rFonts w:ascii="宋体" w:hAnsi="宋体"/>
          <w:color w:val="000000"/>
          <w:kern w:val="0"/>
          <w:sz w:val="24"/>
        </w:rPr>
      </w:pPr>
      <w:bookmarkStart w:id="142" w:name="_Hlt88903324"/>
      <w:bookmarkEnd w:id="142"/>
      <w:r>
        <w:rPr>
          <w:rFonts w:hint="eastAsia" w:ascii="宋体" w:hAnsi="宋体"/>
          <w:color w:val="000000"/>
          <w:kern w:val="0"/>
          <w:sz w:val="24"/>
        </w:rPr>
        <w:t>（四）基金财产的保管</w:t>
      </w:r>
      <w:bookmarkStart w:id="143" w:name="_Toc37159173"/>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1、基金财产保管的原则</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（1）基金财产应独立于基金管理人、基金托管人的固有财产；</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（2）基金托管人应安全保管基金财产；</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（3）基金托管人按照规定开设基金财产的资金账户、证券账户以及投资所需的其他账户；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 xml:space="preserve">（4）基金托管人对所托管的不同基金财产分别设置账户，确保基金财产的完整与独立； </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（5）基金托管人根据基金管理人的指令，按照基金合同和本协议的约定保管基金财产，如有特殊情况双方可另行协商解决；</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（7）除依据法律法规和基金合同的规定外，基金托管人不得委托第三人托管基金财产。</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2、基金募集期间及募集资金的验资</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（1）基金募集期间募集的资金应存于基金管理人开立的“基金募集专户”。该账户由基金管理人开立并管理。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（3）若基金募集期限届满，未能达到基金合同生效的条件，由基金管理人按规定办理退款等事宜。</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3、基金托管专户的开立和管理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基金托管专户的名称:富荣货币市场基金</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托管账户开户行:中国光大银行深圳分行营业部</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托管人以基金的名义在其营业机构开设基金托管专户，保管基金的银行存款。本基金的一切货币收支活动，包括但不限于投资、支付赎回金额、支付基金收益、收取申购款，均需通过基金托管专户进行。</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（3）基金托管专户的开立和管理应符合有关法律法规以及银行业监督管理机构的其他有关规定。</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4、基金证券账户和结算备付金账户的开立和管理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（1）基金托管人在中国证券登记结算有限责任公司上海分公司、深圳分公司为基金开立基金托管人与基金联名的证券账户。</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（3）基金证券账户的开立和证券账户卡的保管由基金托管人负责，账户资产的管理和运用由基金管理人负责。</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（5）若中国证监会或其他监管机构在本托管协议订立日之后允许基金从事其他投资品种的投资业务，涉及相关账户的开立、使用的，若无相关规定，则基金托管人比照上述关于账户开立、使用的规定执行。</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5、银行间债券托管专户的开设和管理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6、其他账户的开立和管理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7、基金财产投资的有关有价凭证等的保管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8、与基金财产有关的重大合同的保管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End w:id="143"/>
      <w:bookmarkStart w:id="144" w:name="_Hlt89689505"/>
      <w:bookmarkEnd w:id="144"/>
      <w:bookmarkStart w:id="145" w:name="_Hlt89687912"/>
      <w:bookmarkEnd w:id="145"/>
      <w:bookmarkStart w:id="146" w:name="_Hlt88902859"/>
      <w:bookmarkEnd w:id="146"/>
      <w:bookmarkStart w:id="147" w:name="_Hlt88903033"/>
      <w:bookmarkEnd w:id="147"/>
    </w:p>
    <w:p>
      <w:pPr>
        <w:spacing w:line="360" w:lineRule="auto"/>
        <w:ind w:firstLine="480" w:firstLineChars="200"/>
        <w:rPr>
          <w:rFonts w:ascii="宋体" w:hAnsi="宋体"/>
          <w:color w:val="000000"/>
          <w:kern w:val="0"/>
          <w:sz w:val="24"/>
        </w:rPr>
      </w:pPr>
      <w:r>
        <w:rPr>
          <w:rFonts w:hint="eastAsia" w:ascii="宋体" w:hAnsi="宋体"/>
          <w:color w:val="000000"/>
          <w:kern w:val="0"/>
          <w:sz w:val="24"/>
        </w:rPr>
        <w:t>（五）基金资产净值计算和会计核算</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1、基金资产净值的计算、复核与完成的时间及程序</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（1）基金资产净值</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资产净值是指基金资产总值减去负债后的金额。每万份基金已实现收益是按照相关法规计算的每万份基金份额的日已实现收益，精确到小数点后第4位，小数点后第5位四舍五入。7日年化收益率是以最近7日(含节假日)收益所折算的年资产收益率，精确到0.001%，百分号内小数点后第4位四舍五入。国家另有规定的，从其规定。</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基金管理人每个交易日计算基金资产净值、每万份基金已实现收益及7日年化收益率，并按规定公告。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（2）复核程序</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2、基金资产估值方法和特殊情形的处理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（1）估值对象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基金所拥有的各类证券和银行存款本息、应收款项、其它投资等资产及负债。</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（2）估值方法</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固有资金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3）如有确凿证据表明按上述方法进行估值不能客观反映其公允价值的，基金管理人可根据具体情况与基金托管人商定后，按最能反映公允价值的价格估值。</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4）相关法律法规以及监管部门有强制规定的，从其规定。如有新增事项，按国家最新规定估值。</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根据有关法律法规，基金资产净值、每万份基金已实现收益及7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7日年化收益率的计算结果对外予以公布。</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（3）特殊情形的处理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基金管理人、基金托管人按估值方法的第3）项进行估值时，所造成的误差不作为基金份额净值错误处理。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3、基金份额净值错误的处理方式</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和基金托管人将采取必要、适当、合理的措施确保基金资产估值的准确性、及时性。当基金资产的计价导致每万份基金已实现收益小数点后4位或7日年化收益率百分号内小数点后3位以内发生差错时，视为估值错误。</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基金合同的当事人应按照以下约定处理：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（1）估值错误类型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上述估值错误的主要类型包括但不限于：资料申报差错、数据传输差错、数据计算差错、系统故障差错、下达指令差错等。</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（2）估值错误处理原则</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2）估值错误的责任方对有关当事人的直接损失负责，不对间接损失负责，并且仅对估值错误的有关直接当事人负责，不对第三方负责。</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4）估值错误调整采用尽量恢复至假设未发生估值错误的正确情形的方式。</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7）按法律法规规定的其他原则处理估值错误。</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（3）估值错误处理程序</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估值错误被发现后，有关的当事人应当及时进行处理，处理的程序如下：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1）查明估值错误发生的原因，列明所有的当事人，并根据估值错误发生的原因确定估值错误的责任方；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2）根据估值错误处理原则或当事人协商的方法对因估值错误造成的损失进行评估；</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3）根据估值错误处理原则或当事人协商的方法由估值错误的责任方进行更正和赔偿损失；</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4）根据估值错误处理的方法，需要修改基金登记机构交易数据的，由基金登记机构进行更正，并就估值错误的更正向有关当事人进行确认。</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（4）基金份额净值估值错误处理的方法如下：</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1）基金份额净值计算出现错误时，基金管理人应当立即予以纠正，通报基金托管人，并采取合理的措施防止损失进一步扩大。</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2）错误偏差达到基金资产净值的0.25%时，基金管理人应当通报基金托管人并报中国证监会备案；错误偏差达到基金资产净值的0.5%时，基金管理人应当公告。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3）前述内容如法律法规或监管机关另有规定的，从其规定处理。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4、暂停估值的情形</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（1）基金投资所涉及的证券交易市场遇法定节假日或因其他原因暂停营业时；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（2）因不可抗力致使基金管理人、基金托管人无法准确评估基金资产价值时；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（3）中国证监会和基金合同认定的其它情形。</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5、基金会计制度</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按国家有关部门规定的会计制度执行。</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6、基金账册的建立</w:t>
      </w:r>
    </w:p>
    <w:p>
      <w:pPr>
        <w:spacing w:line="540" w:lineRule="exact"/>
        <w:ind w:firstLine="480" w:firstLineChars="200"/>
        <w:rPr>
          <w:rFonts w:ascii="宋体" w:hAnsi="宋体"/>
          <w:color w:val="000000"/>
          <w:kern w:val="0"/>
          <w:sz w:val="24"/>
        </w:rPr>
      </w:pPr>
      <w:r>
        <w:rPr>
          <w:rFonts w:hint="eastAsia" w:ascii="宋体" w:hAnsi="宋体"/>
          <w:color w:val="000000"/>
          <w:kern w:val="0"/>
          <w:sz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pPr>
        <w:spacing w:line="540" w:lineRule="exact"/>
        <w:ind w:firstLine="480" w:firstLineChars="200"/>
        <w:rPr>
          <w:rFonts w:ascii="宋体" w:hAnsi="宋体"/>
          <w:color w:val="000000"/>
          <w:kern w:val="0"/>
          <w:sz w:val="24"/>
        </w:rPr>
      </w:pPr>
      <w:r>
        <w:rPr>
          <w:rFonts w:hint="eastAsia" w:ascii="宋体" w:hAnsi="宋体"/>
          <w:color w:val="000000"/>
          <w:kern w:val="0"/>
          <w:sz w:val="24"/>
        </w:rPr>
        <w:t>7、基金财务报表与报告的编制和复核</w:t>
      </w:r>
    </w:p>
    <w:p>
      <w:pPr>
        <w:spacing w:line="540" w:lineRule="exact"/>
        <w:ind w:firstLine="480" w:firstLineChars="200"/>
        <w:rPr>
          <w:rFonts w:ascii="宋体" w:hAnsi="宋体"/>
          <w:color w:val="000000"/>
          <w:kern w:val="0"/>
          <w:sz w:val="24"/>
        </w:rPr>
      </w:pPr>
      <w:r>
        <w:rPr>
          <w:rFonts w:hint="eastAsia" w:ascii="宋体" w:hAnsi="宋体"/>
          <w:color w:val="000000"/>
          <w:kern w:val="0"/>
          <w:sz w:val="24"/>
        </w:rPr>
        <w:t>（1）财务报表的编制</w:t>
      </w:r>
    </w:p>
    <w:p>
      <w:pPr>
        <w:spacing w:line="540" w:lineRule="exact"/>
        <w:ind w:firstLine="480" w:firstLineChars="200"/>
        <w:rPr>
          <w:rFonts w:ascii="宋体" w:hAnsi="宋体"/>
          <w:color w:val="000000"/>
          <w:kern w:val="0"/>
          <w:sz w:val="24"/>
        </w:rPr>
      </w:pPr>
      <w:r>
        <w:rPr>
          <w:rFonts w:hint="eastAsia" w:ascii="宋体" w:hAnsi="宋体"/>
          <w:color w:val="000000"/>
          <w:kern w:val="0"/>
          <w:sz w:val="24"/>
        </w:rPr>
        <w:t>基金财务报表由基金管理人编制，基金托管人复核。</w:t>
      </w:r>
    </w:p>
    <w:p>
      <w:pPr>
        <w:spacing w:line="540" w:lineRule="exact"/>
        <w:ind w:firstLine="480" w:firstLineChars="200"/>
        <w:rPr>
          <w:rFonts w:ascii="宋体" w:hAnsi="宋体"/>
          <w:color w:val="000000"/>
          <w:kern w:val="0"/>
          <w:sz w:val="24"/>
        </w:rPr>
      </w:pPr>
      <w:r>
        <w:rPr>
          <w:rFonts w:hint="eastAsia" w:ascii="宋体" w:hAnsi="宋体"/>
          <w:color w:val="000000"/>
          <w:kern w:val="0"/>
          <w:sz w:val="24"/>
        </w:rPr>
        <w:t>（2）报表复核</w:t>
      </w:r>
    </w:p>
    <w:p>
      <w:pPr>
        <w:spacing w:line="540" w:lineRule="exact"/>
        <w:ind w:firstLine="480" w:firstLineChars="200"/>
        <w:rPr>
          <w:rFonts w:ascii="宋体" w:hAnsi="宋体"/>
          <w:color w:val="000000"/>
          <w:kern w:val="0"/>
          <w:sz w:val="24"/>
        </w:rPr>
      </w:pPr>
      <w:r>
        <w:rPr>
          <w:rFonts w:hint="eastAsia" w:ascii="宋体" w:hAnsi="宋体"/>
          <w:color w:val="000000"/>
          <w:kern w:val="0"/>
          <w:sz w:val="24"/>
        </w:rPr>
        <w:t>基金托管人在收到基金管理人编制的基金财务报表后，进行独立的复核。核对不符时，应及时通知基金管理人共同查出原因，进行调整，直至双方数据完全一致。</w:t>
      </w:r>
    </w:p>
    <w:p>
      <w:pPr>
        <w:spacing w:line="540" w:lineRule="exact"/>
        <w:ind w:firstLine="480" w:firstLineChars="200"/>
        <w:rPr>
          <w:rFonts w:ascii="宋体" w:hAnsi="宋体"/>
          <w:color w:val="000000"/>
          <w:kern w:val="0"/>
          <w:sz w:val="24"/>
        </w:rPr>
      </w:pPr>
      <w:r>
        <w:rPr>
          <w:rFonts w:ascii="宋体" w:hAnsi="宋体"/>
          <w:color w:val="000000"/>
          <w:kern w:val="0"/>
          <w:sz w:val="24"/>
        </w:rPr>
        <w:t>(</w:t>
      </w:r>
      <w:r>
        <w:rPr>
          <w:rFonts w:hint="eastAsia" w:ascii="宋体" w:hAnsi="宋体"/>
          <w:color w:val="000000"/>
          <w:kern w:val="0"/>
          <w:sz w:val="24"/>
        </w:rPr>
        <w:t>3)财务报表的编制与复核时间安排</w:t>
      </w:r>
    </w:p>
    <w:p>
      <w:pPr>
        <w:spacing w:line="540" w:lineRule="exact"/>
        <w:ind w:firstLine="480" w:firstLineChars="200"/>
        <w:rPr>
          <w:rFonts w:ascii="宋体" w:hAnsi="宋体"/>
          <w:color w:val="000000"/>
          <w:kern w:val="0"/>
          <w:sz w:val="24"/>
        </w:rPr>
      </w:pPr>
      <w:r>
        <w:rPr>
          <w:rFonts w:hint="eastAsia" w:ascii="宋体" w:hAnsi="宋体"/>
          <w:color w:val="000000"/>
          <w:kern w:val="0"/>
          <w:sz w:val="24"/>
        </w:rPr>
        <w:t>1）报表的编制</w:t>
      </w:r>
    </w:p>
    <w:p>
      <w:pPr>
        <w:spacing w:line="540" w:lineRule="exact"/>
        <w:ind w:firstLine="480" w:firstLineChars="200"/>
        <w:rPr>
          <w:rFonts w:ascii="宋体" w:hAnsi="宋体"/>
          <w:color w:val="000000"/>
          <w:kern w:val="0"/>
          <w:sz w:val="24"/>
        </w:rPr>
      </w:pPr>
      <w:r>
        <w:rPr>
          <w:rFonts w:hint="eastAsia" w:ascii="宋体" w:hAnsi="宋体"/>
          <w:color w:val="000000"/>
          <w:kern w:val="0"/>
          <w:sz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pPr>
        <w:spacing w:line="540" w:lineRule="exact"/>
        <w:ind w:firstLine="480" w:firstLineChars="200"/>
        <w:rPr>
          <w:rFonts w:ascii="宋体" w:hAnsi="宋体"/>
          <w:color w:val="000000"/>
          <w:kern w:val="0"/>
          <w:sz w:val="24"/>
        </w:rPr>
      </w:pPr>
      <w:r>
        <w:rPr>
          <w:rFonts w:hint="eastAsia" w:ascii="宋体" w:hAnsi="宋体"/>
          <w:color w:val="000000"/>
          <w:kern w:val="0"/>
          <w:sz w:val="24"/>
        </w:rPr>
        <w:t>2）报表的复核</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基金管理人应留足充分的时间，便于基金托管人复核相关报表及报告。</w:t>
      </w:r>
    </w:p>
    <w:p>
      <w:pPr>
        <w:spacing w:line="360" w:lineRule="auto"/>
        <w:ind w:firstLine="480" w:firstLineChars="200"/>
        <w:rPr>
          <w:rFonts w:ascii="宋体" w:hAnsi="宋体"/>
          <w:color w:val="000000"/>
          <w:kern w:val="0"/>
          <w:sz w:val="24"/>
        </w:rPr>
      </w:pPr>
      <w:bookmarkStart w:id="148" w:name="_Hlt88821719"/>
      <w:bookmarkEnd w:id="148"/>
      <w:r>
        <w:rPr>
          <w:rFonts w:hint="eastAsia" w:ascii="宋体" w:hAnsi="宋体"/>
          <w:color w:val="000000"/>
          <w:kern w:val="0"/>
          <w:sz w:val="24"/>
        </w:rPr>
        <w:t>（六）基金份额持有人名册的登记与保管</w:t>
      </w:r>
    </w:p>
    <w:p>
      <w:pPr>
        <w:spacing w:line="360" w:lineRule="auto"/>
        <w:ind w:firstLine="480" w:firstLineChars="200"/>
        <w:rPr>
          <w:rFonts w:ascii="宋体" w:hAnsi="宋体"/>
          <w:sz w:val="24"/>
        </w:rPr>
      </w:pPr>
      <w:bookmarkStart w:id="149" w:name="_Hlt112616834"/>
      <w:bookmarkEnd w:id="149"/>
      <w:r>
        <w:rPr>
          <w:rFonts w:hint="eastAsia" w:ascii="宋体" w:hAnsi="宋体"/>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pPr>
        <w:spacing w:line="360" w:lineRule="auto"/>
        <w:ind w:firstLine="480" w:firstLineChars="200"/>
        <w:rPr>
          <w:rFonts w:ascii="宋体" w:hAnsi="宋体"/>
          <w:color w:val="000000"/>
          <w:kern w:val="0"/>
          <w:sz w:val="24"/>
        </w:rPr>
      </w:pPr>
      <w:r>
        <w:rPr>
          <w:rFonts w:hint="eastAsia" w:ascii="宋体" w:hAnsi="宋体"/>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（七）争议解决方式</w:t>
      </w:r>
    </w:p>
    <w:p>
      <w:pPr>
        <w:spacing w:line="360" w:lineRule="auto"/>
        <w:ind w:firstLine="480" w:firstLineChars="200"/>
        <w:rPr>
          <w:rFonts w:ascii="宋体" w:hAnsi="宋体"/>
          <w:sz w:val="24"/>
        </w:rPr>
      </w:pPr>
      <w:r>
        <w:rPr>
          <w:rFonts w:hint="eastAsia" w:ascii="宋体" w:hAnsi="宋体"/>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pPr>
        <w:spacing w:line="360" w:lineRule="auto"/>
        <w:ind w:firstLine="480" w:firstLineChars="200"/>
        <w:rPr>
          <w:rFonts w:ascii="宋体" w:hAnsi="宋体"/>
          <w:sz w:val="24"/>
        </w:rPr>
      </w:pPr>
      <w:r>
        <w:rPr>
          <w:rFonts w:hint="eastAsia" w:ascii="宋体" w:hAnsi="宋体"/>
          <w:sz w:val="24"/>
        </w:rPr>
        <w:t>争议处理期间，双方当事人应恪守基金管理人和基金托管人职责，各自继续忠实、勤勉、尽责地履行基金合同和本托管协议规定的义务，维护基金份额持有人的合法权益。</w:t>
      </w:r>
    </w:p>
    <w:p>
      <w:pPr>
        <w:spacing w:line="360" w:lineRule="auto"/>
        <w:ind w:firstLine="480" w:firstLineChars="200"/>
        <w:rPr>
          <w:rFonts w:ascii="宋体" w:hAnsi="宋体"/>
          <w:color w:val="000000"/>
          <w:kern w:val="0"/>
          <w:sz w:val="24"/>
        </w:rPr>
      </w:pPr>
      <w:r>
        <w:rPr>
          <w:rFonts w:hint="eastAsia" w:ascii="宋体" w:hAnsi="宋体"/>
          <w:sz w:val="24"/>
        </w:rPr>
        <w:t>本协议受中国法律管辖。</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（八）托管协议的变更、终止与基金财产的清算</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1、托管协议的变更程序</w:t>
      </w:r>
    </w:p>
    <w:p>
      <w:pPr>
        <w:spacing w:line="360" w:lineRule="auto"/>
        <w:ind w:firstLine="480" w:firstLineChars="200"/>
        <w:rPr>
          <w:rFonts w:ascii="宋体" w:hAnsi="宋体"/>
          <w:color w:val="000000"/>
          <w:kern w:val="0"/>
          <w:sz w:val="24"/>
        </w:rPr>
      </w:pPr>
      <w:r>
        <w:rPr>
          <w:rFonts w:hint="eastAsia" w:ascii="宋体" w:hAnsi="宋体"/>
          <w:color w:val="0D0D0D"/>
          <w:kern w:val="0"/>
          <w:sz w:val="24"/>
        </w:rPr>
        <w:t>本协议双方当事人经协商一致，可以对协议进行修改。修改后的新协议，其内容不得与基金合同的规定有任何冲突。基金托管协议的变更报中国备案。。</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2、基金托管协议终止出现的情形</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（1）基金合同终止；</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（2）基金托管人解散、依法被撤销、破产或由其他基金托管人接管基金资产；</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（3）基金管理人解散、依法被撤销、破产或由其他基金管理人接管基金管理权；</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（4）发生法律法规或基金合同规定的终止事项。</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3、基金财产的清算</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（1）基金财产清算组：</w:t>
      </w:r>
    </w:p>
    <w:p>
      <w:pPr>
        <w:spacing w:line="360" w:lineRule="auto"/>
        <w:ind w:firstLine="480" w:firstLineChars="200"/>
        <w:rPr>
          <w:rFonts w:ascii="宋体" w:hAnsi="宋体"/>
          <w:kern w:val="0"/>
          <w:sz w:val="24"/>
        </w:rPr>
      </w:pPr>
      <w:r>
        <w:rPr>
          <w:rFonts w:hint="eastAsia" w:ascii="宋体" w:hAnsi="宋体"/>
          <w:kern w:val="0"/>
          <w:sz w:val="24"/>
        </w:rPr>
        <w:t>1）自出现基金合同终止事由之日起30个工作日内成立清算组，基金管理人组织基金财产清算组在中国证监会的监督下进行基金清算。</w:t>
      </w:r>
    </w:p>
    <w:p>
      <w:pPr>
        <w:spacing w:line="360" w:lineRule="auto"/>
        <w:ind w:firstLine="480" w:firstLineChars="200"/>
        <w:rPr>
          <w:rFonts w:ascii="宋体" w:hAnsi="宋体"/>
          <w:kern w:val="0"/>
          <w:sz w:val="24"/>
        </w:rPr>
      </w:pPr>
      <w:r>
        <w:rPr>
          <w:rFonts w:hint="eastAsia" w:ascii="宋体" w:hAnsi="宋体"/>
          <w:kern w:val="0"/>
          <w:sz w:val="24"/>
        </w:rPr>
        <w:t>2）基金财产清算组成员由基金管理人、基金托管人、具有从事证券相关业务资格的注册会计师、律师以及中国证监会指定的人员组成。基金财产清算组可以聘用必要的工作人员。</w:t>
      </w:r>
    </w:p>
    <w:p>
      <w:pPr>
        <w:spacing w:line="360" w:lineRule="auto"/>
        <w:ind w:firstLine="480" w:firstLineChars="200"/>
        <w:rPr>
          <w:rFonts w:ascii="宋体" w:hAnsi="宋体"/>
          <w:kern w:val="0"/>
          <w:sz w:val="24"/>
        </w:rPr>
      </w:pPr>
      <w:r>
        <w:rPr>
          <w:rFonts w:hint="eastAsia" w:ascii="宋体" w:hAnsi="宋体"/>
          <w:kern w:val="0"/>
          <w:sz w:val="24"/>
        </w:rPr>
        <w:t>3）在基金财产清算过程中，基金管理人和基金托管人应各自履行职责，继续忠实、勤勉、尽责地履行基金合同和本托管协议规定的义务，维护基金份额持有人的合法权益。</w:t>
      </w:r>
    </w:p>
    <w:p>
      <w:pPr>
        <w:spacing w:line="360" w:lineRule="auto"/>
        <w:ind w:firstLine="480" w:firstLineChars="200"/>
        <w:rPr>
          <w:rFonts w:ascii="宋体" w:hAnsi="宋体"/>
          <w:color w:val="0D0D0D"/>
          <w:kern w:val="0"/>
          <w:sz w:val="24"/>
        </w:rPr>
      </w:pPr>
      <w:r>
        <w:rPr>
          <w:rFonts w:hint="eastAsia" w:ascii="宋体" w:hAnsi="宋体"/>
          <w:kern w:val="0"/>
          <w:sz w:val="24"/>
        </w:rPr>
        <w:t>4）基金财产清算组负责基金财产的保管、清理、估价、变现和分配。基金财产清算组可以依法进行必要的民事活动。</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（2）基金财产清算程序</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基金合同终止，应当按法律法规和基金合同的有关规定对基金财产进行清算。基金财产清算程序主要包括：</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（1）《基金合同》终止情形出现时，由基金财产清算小组统一接管基金；</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（2）对基金财产和债权债务进行清理和确认；</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（3）对基金财产进行估值和变现；</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（4）制作清算报告；</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（5）聘请会计师事务所对清算报告进行外部审计，聘请律师事务所对清算报告出具法律意见书；</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（6）将清算报告报中国证监会备案并公告；</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（7）对基金剩余财产进行分配。</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基金财产清算的期限为6个月，但因本基金所持证券的流动性受到限制而不能及时变现的，清算期限相应顺延。</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（3）清算费用</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清算费用是指基金财产清算组在进行基金财产清算过程中发生的所有合理费用，清算费用由基金财产清算组优先从基金剩余财产中支付。</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w:t>
      </w:r>
      <w:r>
        <w:rPr>
          <w:rFonts w:ascii="宋体" w:hAnsi="宋体"/>
          <w:color w:val="0D0D0D"/>
          <w:kern w:val="0"/>
          <w:sz w:val="24"/>
        </w:rPr>
        <w:t>4</w:t>
      </w:r>
      <w:r>
        <w:rPr>
          <w:rFonts w:hint="eastAsia" w:ascii="宋体" w:hAnsi="宋体"/>
          <w:color w:val="0D0D0D"/>
          <w:kern w:val="0"/>
          <w:sz w:val="24"/>
        </w:rPr>
        <w:t>）基金财产按下列顺序清偿：</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1）支付清算费用；</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2）交纳所欠税款；</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3）清偿基金债务；</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4）按基金份额持有人持有的基金份额比例进行分配。</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基金财产未按前款1）－3）项规定清偿前，不分配给基金份额持有人。</w:t>
      </w:r>
    </w:p>
    <w:p>
      <w:pPr>
        <w:spacing w:line="360" w:lineRule="auto"/>
        <w:ind w:firstLine="480" w:firstLineChars="200"/>
        <w:rPr>
          <w:rFonts w:ascii="宋体" w:hAnsi="宋体"/>
          <w:color w:val="0D0D0D"/>
          <w:kern w:val="0"/>
          <w:sz w:val="24"/>
        </w:rPr>
      </w:pPr>
      <w:r>
        <w:rPr>
          <w:rFonts w:hint="eastAsia" w:ascii="宋体" w:hAnsi="宋体"/>
          <w:color w:val="0D0D0D"/>
          <w:kern w:val="0"/>
          <w:sz w:val="24"/>
        </w:rPr>
        <w:t>（</w:t>
      </w:r>
      <w:r>
        <w:rPr>
          <w:rFonts w:ascii="宋体" w:hAnsi="宋体"/>
          <w:color w:val="0D0D0D"/>
          <w:kern w:val="0"/>
          <w:sz w:val="24"/>
        </w:rPr>
        <w:t>5</w:t>
      </w:r>
      <w:r>
        <w:rPr>
          <w:rFonts w:hint="eastAsia" w:ascii="宋体" w:hAnsi="宋体"/>
          <w:color w:val="0D0D0D"/>
          <w:kern w:val="0"/>
          <w:sz w:val="24"/>
        </w:rPr>
        <w:t>）基金财产清算的公告</w:t>
      </w:r>
    </w:p>
    <w:p>
      <w:pPr>
        <w:spacing w:line="360" w:lineRule="auto"/>
        <w:ind w:firstLine="480" w:firstLineChars="200"/>
        <w:rPr>
          <w:rFonts w:ascii="宋体" w:hAnsi="宋体"/>
          <w:color w:val="000000"/>
          <w:kern w:val="0"/>
          <w:sz w:val="24"/>
        </w:rPr>
      </w:pPr>
      <w:r>
        <w:rPr>
          <w:rFonts w:hint="eastAsia" w:ascii="宋体" w:hAnsi="宋体"/>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w:t>
      </w:r>
      <w:r>
        <w:rPr>
          <w:rFonts w:ascii="宋体" w:hAnsi="宋体"/>
          <w:color w:val="000000"/>
          <w:kern w:val="0"/>
          <w:sz w:val="24"/>
        </w:rPr>
        <w:t>6</w:t>
      </w:r>
      <w:r>
        <w:rPr>
          <w:rFonts w:hint="eastAsia" w:ascii="宋体" w:hAnsi="宋体"/>
          <w:color w:val="000000"/>
          <w:kern w:val="0"/>
          <w:sz w:val="24"/>
        </w:rPr>
        <w:t>）基金财产清算账册及文件的保存</w:t>
      </w:r>
    </w:p>
    <w:p>
      <w:pPr>
        <w:spacing w:line="360" w:lineRule="auto"/>
        <w:ind w:firstLine="480" w:firstLineChars="200"/>
      </w:pPr>
      <w:r>
        <w:rPr>
          <w:rFonts w:hint="eastAsia" w:ascii="宋体" w:hAnsi="宋体"/>
          <w:color w:val="000000"/>
          <w:kern w:val="0"/>
          <w:sz w:val="24"/>
        </w:rPr>
        <w:t>基金财产清算账册及有关文件由基金托管人保存15年以上。</w:t>
      </w:r>
      <w:bookmarkEnd w:id="141"/>
      <w:bookmarkStart w:id="150" w:name="_Toc256666808"/>
      <w:bookmarkStart w:id="151" w:name="_Toc256666928"/>
    </w:p>
    <w:p>
      <w:pPr>
        <w:pStyle w:val="2"/>
        <w:spacing w:before="120" w:beforeLines="50" w:after="0" w:line="360" w:lineRule="auto"/>
        <w:ind w:firstLine="420"/>
        <w:jc w:val="center"/>
        <w:rPr>
          <w:rFonts w:ascii="宋体" w:hAnsi="宋体"/>
          <w:color w:val="000000"/>
          <w:kern w:val="0"/>
          <w:sz w:val="24"/>
          <w:szCs w:val="24"/>
        </w:rPr>
        <w:sectPr>
          <w:pgSz w:w="12240" w:h="15840"/>
          <w:pgMar w:top="1440" w:right="1800" w:bottom="1440" w:left="1800" w:header="720" w:footer="720" w:gutter="0"/>
          <w:cols w:space="720" w:num="1"/>
          <w:docGrid w:linePitch="286" w:charSpace="0"/>
        </w:sectPr>
      </w:pPr>
    </w:p>
    <w:p>
      <w:pPr>
        <w:pStyle w:val="2"/>
        <w:spacing w:line="360" w:lineRule="auto"/>
        <w:jc w:val="center"/>
        <w:rPr>
          <w:rFonts w:ascii="宋体" w:hAnsi="宋体"/>
          <w:color w:val="000000"/>
          <w:kern w:val="0"/>
          <w:sz w:val="24"/>
          <w:szCs w:val="24"/>
        </w:rPr>
      </w:pPr>
      <w:bookmarkStart w:id="152" w:name="_Toc482624809"/>
      <w:bookmarkStart w:id="153" w:name="_Toc1031"/>
      <w:bookmarkStart w:id="154" w:name="_Toc28110"/>
      <w:r>
        <w:rPr>
          <w:rFonts w:hint="eastAsia" w:ascii="宋体" w:hAnsi="宋体"/>
          <w:color w:val="000000"/>
          <w:kern w:val="0"/>
          <w:sz w:val="24"/>
          <w:szCs w:val="24"/>
        </w:rPr>
        <w:t>第二十部分  对基金份额持有人的服务</w:t>
      </w:r>
      <w:bookmarkEnd w:id="150"/>
      <w:bookmarkEnd w:id="151"/>
      <w:bookmarkEnd w:id="152"/>
      <w:bookmarkEnd w:id="153"/>
      <w:bookmarkEnd w:id="154"/>
    </w:p>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基金管理人承诺为基金份额持有人提供一系列服务，基金管理人根据基金份额持有人的需要和市场的变化，有权增加或变更服务项目。主要服务内容如下：</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（一）电话人工咨询服务</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（二）自助查询服务</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投资者可通过基金管理人呼叫中心自动语音系统、基金管理人网上账户查询系统进行账户余额、交易情况、基金净值等信息查询。</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（三）邮件咨询服务</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投资者可通过电子邮件的形式向基金管理人提出疑问，针对投资者的问题，基金管理人将设有专员进行及时回复。</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（四）免费信息订阅服务</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（五）资料邮寄服务</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基金管理人可免费为基金投资人提供基金持有证明和交易对账单邮寄服务。投资者可根据需要，通过基金管理人网站或客服热线定制、修改或取消该服务。</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（六）客户投诉受理服务</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投资人可以通过客服热线、书信、电子邮件等渠道，对基金管理人和销售机构所提供的服务进行投诉。</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 xml:space="preserve">（七）基金管理人联系方式 </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公司网址： www.furamc.com .cn</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电子信箱：service@furamc.com.cn</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客服热线：4006855600</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客户服务部门地址：深圳市福田区深南大道2012号深圳证券交易所广场3501，富荣基金管理有限公司客户服务部门（收）</w:t>
      </w:r>
    </w:p>
    <w:p>
      <w:pPr>
        <w:spacing w:before="120" w:beforeLines="50" w:line="360" w:lineRule="auto"/>
        <w:ind w:firstLine="480" w:firstLineChars="200"/>
        <w:rPr>
          <w:rFonts w:ascii="宋体" w:hAnsi="宋体"/>
          <w:color w:val="000000"/>
          <w:kern w:val="0"/>
          <w:sz w:val="24"/>
        </w:rPr>
      </w:pPr>
      <w:r>
        <w:rPr>
          <w:rFonts w:hint="eastAsia" w:ascii="宋体" w:hAnsi="宋体"/>
          <w:color w:val="000000"/>
          <w:kern w:val="0"/>
          <w:sz w:val="24"/>
        </w:rPr>
        <w:t>邮编：518038</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（八）如本招募说明书存在任何您/贵机构无法理解的内容，请通过上述联系方式联系基金管理人。请确保投资前，您/贵机构已经全面理解了本招募说明书。</w:t>
      </w:r>
    </w:p>
    <w:p>
      <w:pPr>
        <w:spacing w:line="360" w:lineRule="auto"/>
        <w:ind w:firstLine="480" w:firstLineChars="200"/>
        <w:rPr>
          <w:rFonts w:ascii="宋体" w:hAnsi="宋体"/>
          <w:color w:val="000000"/>
          <w:kern w:val="0"/>
          <w:sz w:val="24"/>
        </w:rPr>
      </w:pPr>
    </w:p>
    <w:p>
      <w:pPr>
        <w:pStyle w:val="2"/>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155" w:name="_Toc30359"/>
      <w:bookmarkStart w:id="156" w:name="_Toc256666929"/>
      <w:bookmarkStart w:id="157" w:name="_Toc32243"/>
      <w:bookmarkStart w:id="158" w:name="_Toc256666809"/>
      <w:bookmarkStart w:id="159" w:name="_Toc482624810"/>
      <w:r>
        <w:rPr>
          <w:rFonts w:hint="eastAsia" w:ascii="宋体" w:hAnsi="宋体"/>
          <w:color w:val="000000"/>
          <w:kern w:val="0"/>
          <w:sz w:val="24"/>
          <w:szCs w:val="24"/>
        </w:rPr>
        <w:t>第二十一部分  其他应披露事项</w:t>
      </w:r>
      <w:bookmarkEnd w:id="155"/>
      <w:bookmarkEnd w:id="156"/>
      <w:bookmarkEnd w:id="157"/>
      <w:bookmarkEnd w:id="158"/>
      <w:bookmarkEnd w:id="159"/>
    </w:p>
    <w:p/>
    <w:p>
      <w:pPr>
        <w:spacing w:line="360" w:lineRule="auto"/>
        <w:ind w:firstLine="482" w:firstLineChars="201"/>
        <w:jc w:val="left"/>
        <w:rPr>
          <w:sz w:val="24"/>
        </w:rPr>
      </w:pPr>
      <w:r>
        <w:rPr>
          <w:rFonts w:hint="eastAsia"/>
          <w:sz w:val="24"/>
        </w:rPr>
        <w:t>报告期内本基金及基金管理人的有关更新公告：</w:t>
      </w:r>
    </w:p>
    <w:tbl>
      <w:tblPr>
        <w:tblStyle w:val="34"/>
        <w:tblW w:w="8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528"/>
        <w:gridCol w:w="2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5528" w:type="dxa"/>
          </w:tcPr>
          <w:p>
            <w:pPr>
              <w:jc w:val="center"/>
              <w:rPr>
                <w:rFonts w:asciiTheme="minorEastAsia" w:hAnsiTheme="minorEastAsia" w:eastAsiaTheme="minorEastAsia"/>
                <w:sz w:val="24"/>
              </w:rPr>
            </w:pPr>
            <w:r>
              <w:rPr>
                <w:rFonts w:hint="eastAsia" w:asciiTheme="minorEastAsia" w:hAnsiTheme="minorEastAsia" w:eastAsiaTheme="minorEastAsia"/>
                <w:sz w:val="24"/>
              </w:rPr>
              <w:t>公告事项</w:t>
            </w:r>
          </w:p>
        </w:tc>
        <w:tc>
          <w:tcPr>
            <w:tcW w:w="2511" w:type="dxa"/>
          </w:tcPr>
          <w:p>
            <w:pPr>
              <w:jc w:val="center"/>
              <w:rPr>
                <w:rFonts w:asciiTheme="minorEastAsia" w:hAnsiTheme="minorEastAsia" w:eastAsiaTheme="minorEastAsia"/>
                <w:sz w:val="24"/>
              </w:rPr>
            </w:pPr>
            <w:r>
              <w:rPr>
                <w:rFonts w:hint="eastAsia" w:asciiTheme="minorEastAsia" w:hAnsiTheme="minorEastAsia" w:eastAsiaTheme="minorEastAsia"/>
                <w:sz w:val="24"/>
              </w:rPr>
              <w:t>披露日期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jc w:val="left"/>
              <w:rPr>
                <w:rFonts w:asciiTheme="minorEastAsia" w:hAnsiTheme="minorEastAsia" w:eastAsiaTheme="minorEastAsia"/>
                <w:sz w:val="24"/>
              </w:rPr>
            </w:pPr>
            <w:r>
              <w:rPr>
                <w:rFonts w:asciiTheme="minorEastAsia" w:hAnsiTheme="minorEastAsia" w:eastAsiaTheme="minorEastAsia"/>
                <w:sz w:val="24"/>
              </w:rPr>
              <w:t>1</w:t>
            </w:r>
          </w:p>
        </w:tc>
        <w:tc>
          <w:tcPr>
            <w:tcW w:w="5528" w:type="dxa"/>
          </w:tcPr>
          <w:p>
            <w:pPr>
              <w:jc w:val="left"/>
              <w:rPr>
                <w:rFonts w:asciiTheme="minorEastAsia" w:hAnsiTheme="minorEastAsia" w:eastAsiaTheme="minorEastAsia"/>
                <w:sz w:val="24"/>
              </w:rPr>
            </w:pPr>
            <w:r>
              <w:rPr>
                <w:rFonts w:hint="eastAsia" w:asciiTheme="minorEastAsia" w:hAnsiTheme="minorEastAsia" w:eastAsiaTheme="minorEastAsia"/>
                <w:sz w:val="24"/>
              </w:rPr>
              <w:t>富荣货币市场基金基金合同生效公告</w:t>
            </w:r>
          </w:p>
        </w:tc>
        <w:tc>
          <w:tcPr>
            <w:tcW w:w="2511" w:type="dxa"/>
          </w:tcPr>
          <w:p>
            <w:pPr>
              <w:jc w:val="center"/>
              <w:rPr>
                <w:rFonts w:asciiTheme="minorEastAsia" w:hAnsiTheme="minorEastAsia" w:eastAsiaTheme="minorEastAsia"/>
                <w:sz w:val="24"/>
              </w:rPr>
            </w:pPr>
            <w:r>
              <w:rPr>
                <w:rFonts w:hint="eastAsia" w:asciiTheme="minorEastAsia" w:hAnsiTheme="minorEastAsia" w:eastAsiaTheme="minorEastAsia"/>
                <w:sz w:val="24"/>
              </w:rPr>
              <w:t>2016年12月27日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jc w:val="left"/>
              <w:rPr>
                <w:rFonts w:asciiTheme="minorEastAsia" w:hAnsiTheme="minorEastAsia" w:eastAsiaTheme="minorEastAsia"/>
                <w:sz w:val="24"/>
              </w:rPr>
            </w:pPr>
            <w:r>
              <w:rPr>
                <w:rFonts w:asciiTheme="minorEastAsia" w:hAnsiTheme="minorEastAsia" w:eastAsiaTheme="minorEastAsia"/>
                <w:sz w:val="24"/>
              </w:rPr>
              <w:t>2</w:t>
            </w:r>
          </w:p>
        </w:tc>
        <w:tc>
          <w:tcPr>
            <w:tcW w:w="5528" w:type="dxa"/>
          </w:tcPr>
          <w:p>
            <w:pPr>
              <w:jc w:val="left"/>
              <w:rPr>
                <w:rFonts w:asciiTheme="minorEastAsia" w:hAnsiTheme="minorEastAsia" w:eastAsiaTheme="minorEastAsia"/>
                <w:sz w:val="24"/>
              </w:rPr>
            </w:pPr>
            <w:r>
              <w:rPr>
                <w:rFonts w:hint="eastAsia" w:asciiTheme="minorEastAsia" w:hAnsiTheme="minorEastAsia" w:eastAsiaTheme="minorEastAsia"/>
                <w:sz w:val="24"/>
              </w:rPr>
              <w:t>富荣货币市场基金开放日常申购、赎回及定投业务的公告</w:t>
            </w:r>
          </w:p>
        </w:tc>
        <w:tc>
          <w:tcPr>
            <w:tcW w:w="2511" w:type="dxa"/>
          </w:tcPr>
          <w:p>
            <w:pPr>
              <w:jc w:val="center"/>
              <w:rPr>
                <w:rFonts w:asciiTheme="minorEastAsia" w:hAnsiTheme="minorEastAsia" w:eastAsiaTheme="minorEastAsia"/>
                <w:sz w:val="24"/>
              </w:rPr>
            </w:pPr>
            <w:r>
              <w:rPr>
                <w:rFonts w:hint="eastAsia" w:asciiTheme="minorEastAsia" w:hAnsiTheme="minorEastAsia" w:eastAsiaTheme="minorEastAsia"/>
                <w:sz w:val="24"/>
              </w:rPr>
              <w:t>2016年12月31日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jc w:val="left"/>
              <w:rPr>
                <w:rFonts w:asciiTheme="minorEastAsia" w:hAnsiTheme="minorEastAsia" w:eastAsiaTheme="minorEastAsia"/>
                <w:sz w:val="24"/>
              </w:rPr>
            </w:pPr>
            <w:r>
              <w:rPr>
                <w:rFonts w:asciiTheme="minorEastAsia" w:hAnsiTheme="minorEastAsia" w:eastAsiaTheme="minorEastAsia"/>
                <w:sz w:val="24"/>
              </w:rPr>
              <w:t>3</w:t>
            </w:r>
          </w:p>
        </w:tc>
        <w:tc>
          <w:tcPr>
            <w:tcW w:w="5528" w:type="dxa"/>
          </w:tcPr>
          <w:p>
            <w:pPr>
              <w:jc w:val="left"/>
              <w:rPr>
                <w:rFonts w:asciiTheme="minorEastAsia" w:hAnsiTheme="minorEastAsia" w:eastAsiaTheme="minorEastAsia"/>
                <w:sz w:val="24"/>
              </w:rPr>
            </w:pPr>
            <w:r>
              <w:rPr>
                <w:rFonts w:hint="eastAsia" w:asciiTheme="minorEastAsia" w:hAnsiTheme="minorEastAsia" w:eastAsiaTheme="minorEastAsia"/>
                <w:sz w:val="24"/>
              </w:rPr>
              <w:t>富荣货币市场基金2017年“春节”假期前暂停申购公告</w:t>
            </w:r>
          </w:p>
        </w:tc>
        <w:tc>
          <w:tcPr>
            <w:tcW w:w="2511" w:type="dxa"/>
          </w:tcPr>
          <w:p>
            <w:pPr>
              <w:jc w:val="center"/>
              <w:rPr>
                <w:rFonts w:asciiTheme="minorEastAsia" w:hAnsiTheme="minorEastAsia" w:eastAsiaTheme="minorEastAsia"/>
                <w:sz w:val="24"/>
              </w:rPr>
            </w:pPr>
            <w:r>
              <w:rPr>
                <w:rFonts w:hint="eastAsia" w:asciiTheme="minorEastAsia" w:hAnsiTheme="minorEastAsia" w:eastAsiaTheme="minorEastAsia"/>
                <w:sz w:val="24"/>
              </w:rPr>
              <w:t>2017年01月20日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jc w:val="left"/>
              <w:rPr>
                <w:rFonts w:asciiTheme="minorEastAsia" w:hAnsiTheme="minorEastAsia" w:eastAsiaTheme="minorEastAsia"/>
                <w:sz w:val="24"/>
              </w:rPr>
            </w:pPr>
            <w:r>
              <w:rPr>
                <w:rFonts w:asciiTheme="minorEastAsia" w:hAnsiTheme="minorEastAsia" w:eastAsiaTheme="minorEastAsia"/>
                <w:sz w:val="24"/>
              </w:rPr>
              <w:t>4</w:t>
            </w:r>
          </w:p>
        </w:tc>
        <w:tc>
          <w:tcPr>
            <w:tcW w:w="5528" w:type="dxa"/>
          </w:tcPr>
          <w:p>
            <w:pPr>
              <w:jc w:val="left"/>
              <w:rPr>
                <w:rFonts w:asciiTheme="minorEastAsia" w:hAnsiTheme="minorEastAsia" w:eastAsiaTheme="minorEastAsia"/>
                <w:sz w:val="24"/>
              </w:rPr>
            </w:pPr>
            <w:r>
              <w:rPr>
                <w:rFonts w:hint="eastAsia" w:asciiTheme="minorEastAsia" w:hAnsiTheme="minorEastAsia" w:eastAsiaTheme="minorEastAsia"/>
                <w:sz w:val="24"/>
              </w:rPr>
              <w:t>关于富荣货币市场基金新增代销机构的公告</w:t>
            </w:r>
          </w:p>
        </w:tc>
        <w:tc>
          <w:tcPr>
            <w:tcW w:w="2511" w:type="dxa"/>
          </w:tcPr>
          <w:p>
            <w:pPr>
              <w:jc w:val="center"/>
              <w:rPr>
                <w:rFonts w:asciiTheme="minorEastAsia" w:hAnsiTheme="minorEastAsia" w:eastAsiaTheme="minorEastAsia"/>
                <w:sz w:val="24"/>
              </w:rPr>
            </w:pPr>
            <w:r>
              <w:rPr>
                <w:rFonts w:hint="eastAsia" w:asciiTheme="minorEastAsia" w:hAnsiTheme="minorEastAsia" w:eastAsiaTheme="minorEastAsia"/>
                <w:sz w:val="24"/>
              </w:rPr>
              <w:t>2017年03月20日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jc w:val="left"/>
              <w:rPr>
                <w:rFonts w:asciiTheme="minorEastAsia" w:hAnsiTheme="minorEastAsia" w:eastAsiaTheme="minorEastAsia"/>
                <w:sz w:val="24"/>
              </w:rPr>
            </w:pPr>
            <w:r>
              <w:rPr>
                <w:rFonts w:asciiTheme="minorEastAsia" w:hAnsiTheme="minorEastAsia" w:eastAsiaTheme="minorEastAsia"/>
                <w:sz w:val="24"/>
              </w:rPr>
              <w:t>5</w:t>
            </w:r>
          </w:p>
        </w:tc>
        <w:tc>
          <w:tcPr>
            <w:tcW w:w="5528" w:type="dxa"/>
          </w:tcPr>
          <w:p>
            <w:pPr>
              <w:jc w:val="left"/>
              <w:rPr>
                <w:rFonts w:asciiTheme="minorEastAsia" w:hAnsiTheme="minorEastAsia" w:eastAsiaTheme="minorEastAsia"/>
                <w:sz w:val="24"/>
              </w:rPr>
            </w:pPr>
            <w:r>
              <w:rPr>
                <w:rFonts w:hint="eastAsia" w:asciiTheme="minorEastAsia" w:hAnsiTheme="minorEastAsia" w:eastAsiaTheme="minorEastAsia"/>
                <w:sz w:val="24"/>
              </w:rPr>
              <w:t>关于富荣货币市场基金新增金百临为代销机构的公告</w:t>
            </w:r>
          </w:p>
        </w:tc>
        <w:tc>
          <w:tcPr>
            <w:tcW w:w="2511" w:type="dxa"/>
          </w:tcPr>
          <w:p>
            <w:pPr>
              <w:jc w:val="center"/>
              <w:rPr>
                <w:rFonts w:asciiTheme="minorEastAsia" w:hAnsiTheme="minorEastAsia" w:eastAsiaTheme="minorEastAsia"/>
                <w:sz w:val="24"/>
              </w:rPr>
            </w:pPr>
            <w:r>
              <w:rPr>
                <w:rFonts w:hint="eastAsia" w:asciiTheme="minorEastAsia" w:hAnsiTheme="minorEastAsia" w:eastAsiaTheme="minorEastAsia"/>
                <w:sz w:val="24"/>
              </w:rPr>
              <w:t>2017年03月24日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jc w:val="left"/>
              <w:rPr>
                <w:rFonts w:asciiTheme="minorEastAsia" w:hAnsiTheme="minorEastAsia" w:eastAsiaTheme="minorEastAsia"/>
                <w:sz w:val="24"/>
              </w:rPr>
            </w:pPr>
            <w:r>
              <w:rPr>
                <w:rFonts w:asciiTheme="minorEastAsia" w:hAnsiTheme="minorEastAsia" w:eastAsiaTheme="minorEastAsia"/>
                <w:sz w:val="24"/>
              </w:rPr>
              <w:t>6</w:t>
            </w:r>
          </w:p>
        </w:tc>
        <w:tc>
          <w:tcPr>
            <w:tcW w:w="5528" w:type="dxa"/>
          </w:tcPr>
          <w:p>
            <w:pPr>
              <w:jc w:val="left"/>
              <w:rPr>
                <w:rFonts w:asciiTheme="minorEastAsia" w:hAnsiTheme="minorEastAsia" w:eastAsiaTheme="minorEastAsia"/>
                <w:sz w:val="24"/>
              </w:rPr>
            </w:pPr>
            <w:r>
              <w:rPr>
                <w:rFonts w:hint="eastAsia" w:asciiTheme="minorEastAsia" w:hAnsiTheme="minorEastAsia" w:eastAsiaTheme="minorEastAsia"/>
                <w:sz w:val="24"/>
              </w:rPr>
              <w:t>关于富荣货币市场基金新增珠海华润银行为代销机构的公告</w:t>
            </w:r>
          </w:p>
        </w:tc>
        <w:tc>
          <w:tcPr>
            <w:tcW w:w="2511" w:type="dxa"/>
          </w:tcPr>
          <w:p>
            <w:pPr>
              <w:jc w:val="center"/>
              <w:rPr>
                <w:rFonts w:asciiTheme="minorEastAsia" w:hAnsiTheme="minorEastAsia" w:eastAsiaTheme="minorEastAsia"/>
                <w:sz w:val="24"/>
              </w:rPr>
            </w:pPr>
            <w:r>
              <w:rPr>
                <w:rFonts w:hint="eastAsia" w:asciiTheme="minorEastAsia" w:hAnsiTheme="minorEastAsia" w:eastAsiaTheme="minorEastAsia"/>
                <w:sz w:val="24"/>
              </w:rPr>
              <w:t>2017年04月13日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jc w:val="left"/>
              <w:rPr>
                <w:rFonts w:asciiTheme="minorEastAsia" w:hAnsiTheme="minorEastAsia" w:eastAsiaTheme="minorEastAsia"/>
                <w:sz w:val="24"/>
              </w:rPr>
            </w:pPr>
            <w:r>
              <w:rPr>
                <w:rFonts w:asciiTheme="minorEastAsia" w:hAnsiTheme="minorEastAsia" w:eastAsiaTheme="minorEastAsia"/>
                <w:sz w:val="24"/>
              </w:rPr>
              <w:t>7</w:t>
            </w:r>
          </w:p>
        </w:tc>
        <w:tc>
          <w:tcPr>
            <w:tcW w:w="5528" w:type="dxa"/>
          </w:tcPr>
          <w:p>
            <w:pPr>
              <w:jc w:val="left"/>
              <w:rPr>
                <w:rFonts w:asciiTheme="minorEastAsia" w:hAnsiTheme="minorEastAsia" w:eastAsiaTheme="minorEastAsia"/>
                <w:sz w:val="24"/>
              </w:rPr>
            </w:pPr>
            <w:r>
              <w:rPr>
                <w:rFonts w:hint="eastAsia" w:asciiTheme="minorEastAsia" w:hAnsiTheme="minorEastAsia" w:eastAsiaTheme="minorEastAsia"/>
                <w:sz w:val="24"/>
              </w:rPr>
              <w:t>富荣货币市场基金2017年第一季度报告</w:t>
            </w:r>
          </w:p>
        </w:tc>
        <w:tc>
          <w:tcPr>
            <w:tcW w:w="2511" w:type="dxa"/>
          </w:tcPr>
          <w:p>
            <w:pPr>
              <w:jc w:val="center"/>
              <w:rPr>
                <w:rFonts w:asciiTheme="minorEastAsia" w:hAnsiTheme="minorEastAsia" w:eastAsiaTheme="minorEastAsia"/>
                <w:sz w:val="24"/>
              </w:rPr>
            </w:pPr>
            <w:r>
              <w:rPr>
                <w:rFonts w:hint="eastAsia" w:asciiTheme="minorEastAsia" w:hAnsiTheme="minorEastAsia" w:eastAsiaTheme="minorEastAsia"/>
                <w:sz w:val="24"/>
              </w:rPr>
              <w:t>2017年04月21日</w:t>
            </w:r>
          </w:p>
          <w:p>
            <w:pPr>
              <w:jc w:val="center"/>
              <w:rPr>
                <w:rFonts w:asciiTheme="minorEastAsia" w:hAnsiTheme="minorEastAsia"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Pr>
          <w:p>
            <w:pPr>
              <w:jc w:val="left"/>
              <w:rPr>
                <w:rFonts w:asciiTheme="minorEastAsia" w:hAnsiTheme="minorEastAsia" w:eastAsiaTheme="minorEastAsia"/>
                <w:sz w:val="24"/>
              </w:rPr>
            </w:pPr>
            <w:r>
              <w:rPr>
                <w:rFonts w:asciiTheme="minorEastAsia" w:hAnsiTheme="minorEastAsia" w:eastAsiaTheme="minorEastAsia"/>
                <w:sz w:val="24"/>
              </w:rPr>
              <w:t>8</w:t>
            </w:r>
          </w:p>
        </w:tc>
        <w:tc>
          <w:tcPr>
            <w:tcW w:w="5528" w:type="dxa"/>
          </w:tcPr>
          <w:p>
            <w:pPr>
              <w:jc w:val="left"/>
              <w:rPr>
                <w:rFonts w:asciiTheme="minorEastAsia" w:hAnsiTheme="minorEastAsia" w:eastAsiaTheme="minorEastAsia"/>
                <w:sz w:val="24"/>
              </w:rPr>
            </w:pPr>
            <w:r>
              <w:rPr>
                <w:rFonts w:hint="eastAsia" w:asciiTheme="minorEastAsia" w:hAnsiTheme="minorEastAsia" w:eastAsiaTheme="minorEastAsia"/>
                <w:sz w:val="24"/>
              </w:rPr>
              <w:t>关于富荣货币市场基金新增包商银行为代销机构的公告</w:t>
            </w:r>
          </w:p>
        </w:tc>
        <w:tc>
          <w:tcPr>
            <w:tcW w:w="2511" w:type="dxa"/>
          </w:tcPr>
          <w:p>
            <w:pPr>
              <w:jc w:val="center"/>
              <w:rPr>
                <w:rFonts w:asciiTheme="minorEastAsia" w:hAnsiTheme="minorEastAsia" w:eastAsiaTheme="minorEastAsia"/>
                <w:sz w:val="24"/>
              </w:rPr>
            </w:pPr>
            <w:r>
              <w:rPr>
                <w:rFonts w:hint="eastAsia" w:asciiTheme="minorEastAsia" w:hAnsiTheme="minorEastAsia" w:eastAsiaTheme="minorEastAsia"/>
                <w:sz w:val="24"/>
              </w:rPr>
              <w:t>2017年05月09日</w:t>
            </w:r>
          </w:p>
        </w:tc>
      </w:tr>
    </w:tbl>
    <w:p>
      <w:pPr>
        <w:ind w:firstLine="484"/>
        <w:jc w:val="left"/>
        <w:rPr>
          <w:b/>
          <w:bCs/>
          <w:kern w:val="44"/>
          <w:sz w:val="24"/>
          <w:szCs w:val="44"/>
        </w:rPr>
      </w:pPr>
    </w:p>
    <w:p>
      <w:pPr>
        <w:pStyle w:val="2"/>
        <w:spacing w:line="360" w:lineRule="auto"/>
        <w:jc w:val="center"/>
        <w:rPr>
          <w:b w:val="0"/>
          <w:bCs w:val="0"/>
          <w:sz w:val="24"/>
        </w:rPr>
      </w:pPr>
      <w:r>
        <w:br w:type="page"/>
      </w:r>
      <w:bookmarkStart w:id="160" w:name="_Toc1903"/>
      <w:bookmarkStart w:id="161" w:name="_Toc482624811"/>
      <w:bookmarkStart w:id="162" w:name="_Toc31436"/>
      <w:bookmarkStart w:id="163" w:name="_Toc256666811"/>
      <w:bookmarkStart w:id="164" w:name="_Toc256666931"/>
      <w:r>
        <w:rPr>
          <w:rFonts w:hint="eastAsia" w:ascii="宋体" w:hAnsi="宋体"/>
          <w:color w:val="000000"/>
          <w:kern w:val="0"/>
          <w:sz w:val="24"/>
          <w:szCs w:val="24"/>
        </w:rPr>
        <w:t>第二十二部分</w:t>
      </w:r>
      <w:r>
        <w:rPr>
          <w:rFonts w:ascii="宋体" w:hAnsi="宋体"/>
          <w:color w:val="000000"/>
          <w:kern w:val="0"/>
          <w:sz w:val="24"/>
          <w:szCs w:val="24"/>
        </w:rPr>
        <w:t xml:space="preserve">  </w:t>
      </w:r>
      <w:r>
        <w:rPr>
          <w:rFonts w:hint="eastAsia" w:ascii="宋体" w:hAnsi="宋体"/>
          <w:color w:val="000000"/>
          <w:kern w:val="0"/>
          <w:sz w:val="24"/>
          <w:szCs w:val="24"/>
        </w:rPr>
        <w:t>招募说明书存放及查阅方式</w:t>
      </w:r>
      <w:bookmarkEnd w:id="160"/>
      <w:bookmarkEnd w:id="161"/>
      <w:bookmarkEnd w:id="162"/>
    </w:p>
    <w:p>
      <w:pPr>
        <w:spacing w:line="360" w:lineRule="auto"/>
        <w:ind w:firstLine="480" w:firstLineChars="200"/>
        <w:rPr>
          <w:bCs/>
          <w:sz w:val="24"/>
        </w:rPr>
      </w:pPr>
      <w:r>
        <w:rPr>
          <w:rFonts w:hint="eastAsia"/>
          <w:bCs/>
          <w:sz w:val="24"/>
        </w:rPr>
        <w:t>本招募说明书存放在基金管理人、基金托管人和销售机构的住所，投资人可以在办公时间免费查阅。在支付工本费后，可在合理时间内取得上述文件的复制件或复印件。招募说明书条款及内容应以招募说明书正本为准。</w:t>
      </w:r>
    </w:p>
    <w:p/>
    <w:p>
      <w:pPr>
        <w:pStyle w:val="2"/>
        <w:spacing w:line="360" w:lineRule="auto"/>
        <w:jc w:val="center"/>
        <w:rPr>
          <w:rFonts w:ascii="宋体" w:hAnsi="宋体"/>
          <w:color w:val="000000"/>
          <w:kern w:val="0"/>
          <w:sz w:val="24"/>
          <w:szCs w:val="24"/>
        </w:rPr>
      </w:pPr>
      <w:bookmarkStart w:id="165" w:name="_Toc30681"/>
      <w:bookmarkStart w:id="166" w:name="_Toc29888"/>
      <w:bookmarkStart w:id="167" w:name="_Toc482624812"/>
      <w:r>
        <w:rPr>
          <w:rFonts w:hint="eastAsia" w:ascii="宋体" w:hAnsi="宋体"/>
          <w:color w:val="000000"/>
          <w:kern w:val="0"/>
          <w:sz w:val="24"/>
          <w:szCs w:val="24"/>
        </w:rPr>
        <w:t>第二十三部分</w:t>
      </w:r>
      <w:r>
        <w:rPr>
          <w:rFonts w:ascii="宋体" w:hAnsi="宋体"/>
          <w:color w:val="000000"/>
          <w:kern w:val="0"/>
          <w:sz w:val="24"/>
          <w:szCs w:val="24"/>
        </w:rPr>
        <w:t xml:space="preserve">  </w:t>
      </w:r>
      <w:r>
        <w:rPr>
          <w:rFonts w:hint="eastAsia" w:ascii="宋体" w:hAnsi="宋体"/>
          <w:color w:val="000000"/>
          <w:kern w:val="0"/>
          <w:sz w:val="24"/>
          <w:szCs w:val="24"/>
        </w:rPr>
        <w:t>备查文件</w:t>
      </w:r>
      <w:bookmarkEnd w:id="163"/>
      <w:bookmarkEnd w:id="164"/>
      <w:bookmarkEnd w:id="165"/>
      <w:bookmarkEnd w:id="166"/>
      <w:bookmarkEnd w:id="167"/>
    </w:p>
    <w:p>
      <w:pPr>
        <w:spacing w:line="360" w:lineRule="auto"/>
        <w:ind w:firstLine="480" w:firstLineChars="200"/>
        <w:rPr>
          <w:rFonts w:ascii="宋体" w:hAnsi="宋体"/>
          <w:color w:val="000000"/>
          <w:kern w:val="0"/>
          <w:sz w:val="24"/>
        </w:rPr>
      </w:pPr>
      <w:r>
        <w:rPr>
          <w:rFonts w:hint="eastAsia" w:ascii="宋体" w:hAnsi="宋体"/>
          <w:color w:val="000000"/>
          <w:kern w:val="0"/>
          <w:sz w:val="24"/>
        </w:rPr>
        <w:t>（一）中国证监会准予</w:t>
      </w:r>
      <w:r>
        <w:rPr>
          <w:rFonts w:hint="eastAsia"/>
          <w:bCs/>
          <w:sz w:val="24"/>
        </w:rPr>
        <w:t>富荣货币市场基金</w:t>
      </w:r>
      <w:r>
        <w:rPr>
          <w:rFonts w:hint="eastAsia" w:ascii="宋体" w:hAnsi="宋体"/>
          <w:color w:val="000000"/>
          <w:kern w:val="0"/>
          <w:sz w:val="24"/>
        </w:rPr>
        <w:t>募集注册的文件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（二）《</w:t>
      </w:r>
      <w:r>
        <w:rPr>
          <w:rFonts w:hint="eastAsia"/>
          <w:bCs/>
          <w:sz w:val="24"/>
        </w:rPr>
        <w:t>富荣货币市场基金</w:t>
      </w:r>
      <w:r>
        <w:rPr>
          <w:rFonts w:hint="eastAsia" w:ascii="宋体" w:hAnsi="宋体"/>
          <w:color w:val="000000"/>
          <w:kern w:val="0"/>
          <w:sz w:val="24"/>
        </w:rPr>
        <w:t>基金合同》</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（三）《</w:t>
      </w:r>
      <w:r>
        <w:rPr>
          <w:rFonts w:hint="eastAsia"/>
          <w:bCs/>
          <w:sz w:val="24"/>
        </w:rPr>
        <w:t>富荣货币市场基金</w:t>
      </w:r>
      <w:r>
        <w:rPr>
          <w:rFonts w:hint="eastAsia" w:ascii="宋体" w:hAnsi="宋体"/>
          <w:color w:val="000000"/>
          <w:kern w:val="0"/>
          <w:sz w:val="24"/>
        </w:rPr>
        <w:t>托管协议》</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（四）关于申请募集</w:t>
      </w:r>
      <w:r>
        <w:rPr>
          <w:rFonts w:hint="eastAsia"/>
          <w:bCs/>
          <w:sz w:val="24"/>
        </w:rPr>
        <w:t>富荣货币市场基金</w:t>
      </w:r>
      <w:r>
        <w:rPr>
          <w:rFonts w:hint="eastAsia" w:ascii="宋体" w:hAnsi="宋体"/>
          <w:color w:val="000000"/>
          <w:kern w:val="0"/>
          <w:sz w:val="24"/>
        </w:rPr>
        <w:t>之法律意见</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（五）基金管理人业务资格批件、营业执照</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（六）基金托管人业务资格批件、营业执照</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（七）中国证监会要求的其他文件</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存放地点：上述备查文件存放在基金管理人、基金托管人的办公场所。</w:t>
      </w:r>
    </w:p>
    <w:p>
      <w:pPr>
        <w:spacing w:line="360" w:lineRule="auto"/>
        <w:ind w:firstLine="480" w:firstLineChars="200"/>
        <w:rPr>
          <w:rFonts w:ascii="宋体" w:hAnsi="宋体"/>
          <w:color w:val="000000"/>
          <w:kern w:val="0"/>
          <w:sz w:val="24"/>
        </w:rPr>
      </w:pPr>
      <w:r>
        <w:rPr>
          <w:rFonts w:hint="eastAsia" w:ascii="宋体" w:hAnsi="宋体"/>
          <w:color w:val="000000"/>
          <w:kern w:val="0"/>
          <w:sz w:val="24"/>
        </w:rPr>
        <w:t>查阅方式：投资人可以在办公时间免费查询；也可按工本费购买本基金备查文件复制件或复印件，但应以基金备查文件正本为准。</w:t>
      </w: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ind w:firstLine="480" w:firstLineChars="200"/>
        <w:jc w:val="right"/>
        <w:rPr>
          <w:rFonts w:ascii="宋体" w:hAnsi="宋体"/>
          <w:color w:val="000000"/>
          <w:kern w:val="0"/>
          <w:sz w:val="24"/>
        </w:rPr>
      </w:pPr>
      <w:r>
        <w:rPr>
          <w:rFonts w:hint="eastAsia" w:ascii="宋体" w:hAnsi="宋体"/>
          <w:color w:val="000000"/>
          <w:kern w:val="0"/>
          <w:sz w:val="24"/>
        </w:rPr>
        <w:t>富荣基金管理有限公司</w:t>
      </w:r>
    </w:p>
    <w:p>
      <w:pPr>
        <w:wordWrap w:val="0"/>
        <w:spacing w:line="360" w:lineRule="auto"/>
        <w:jc w:val="right"/>
        <w:rPr>
          <w:rFonts w:ascii="宋体" w:hAnsi="宋体"/>
          <w:color w:val="000000"/>
          <w:sz w:val="24"/>
        </w:rPr>
      </w:pPr>
      <w:r>
        <w:rPr>
          <w:rFonts w:hint="eastAsia" w:ascii="宋体" w:hAnsi="宋体"/>
          <w:color w:val="000000"/>
          <w:kern w:val="0"/>
          <w:sz w:val="24"/>
        </w:rPr>
        <w:t xml:space="preserve">二〇一七年七月  </w:t>
      </w:r>
    </w:p>
    <w:p>
      <w:pPr>
        <w:spacing w:line="360" w:lineRule="auto"/>
        <w:jc w:val="right"/>
        <w:rPr>
          <w:rFonts w:ascii="宋体" w:hAnsi="宋体"/>
          <w:color w:val="000000"/>
          <w:sz w:val="24"/>
        </w:rPr>
      </w:pPr>
    </w:p>
    <w:sectPr>
      <w:pgSz w:w="12240" w:h="15840"/>
      <w:pgMar w:top="1440" w:right="1800" w:bottom="1440" w:left="1800"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_GB2312">
    <w:altName w:val="宋体"/>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Webdings">
    <w:panose1 w:val="05030102010509060703"/>
    <w:charset w:val="02"/>
    <w:family w:val="roman"/>
    <w:pitch w:val="default"/>
    <w:sig w:usb0="00000000" w:usb1="00000000" w:usb2="00000000" w:usb3="00000000" w:csb0="80000000" w:csb1="00000000"/>
  </w:font>
  <w:font w:name="ˎ̥">
    <w:altName w:val="Times New Roman"/>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rPr>
        <w:rFonts w:ascii="宋体" w:hAnsi="宋体"/>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r>
      <w:fldChar w:fldCharType="begin"/>
    </w:r>
    <w:r>
      <w:instrText xml:space="preserve">PAGE   \* MERGEFORMAT</w:instrText>
    </w:r>
    <w:r>
      <w:fldChar w:fldCharType="separate"/>
    </w:r>
    <w:r>
      <w:rPr>
        <w:lang w:val="zh-CN"/>
      </w:rPr>
      <w:t>1</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left"/>
    </w:pPr>
    <w:r>
      <w:rPr>
        <w:rFonts w:hint="eastAsia"/>
      </w:rPr>
      <w:t>富荣货币市场基金更新的招募说明书（2017年第1号）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jc w:val="right"/>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4F2C86"/>
    <w:multiLevelType w:val="multilevel"/>
    <w:tmpl w:val="324F2C86"/>
    <w:lvl w:ilvl="0" w:tentative="0">
      <w:start w:val="1"/>
      <w:numFmt w:val="decimal"/>
      <w:lvlText w:val="%1、"/>
      <w:lvlJc w:val="left"/>
      <w:pPr>
        <w:ind w:left="840" w:hanging="360"/>
      </w:pPr>
      <w:rPr>
        <w:rFonts w:hint="default" w:ascii="宋体" w:hAnsi="宋体" w:eastAsia="宋体"/>
        <w:sz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3A3E1F68"/>
    <w:multiLevelType w:val="multilevel"/>
    <w:tmpl w:val="3A3E1F68"/>
    <w:lvl w:ilvl="0" w:tentative="0">
      <w:start w:val="1"/>
      <w:numFmt w:val="decimalEnclosedCircle"/>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5C1A15CA"/>
    <w:multiLevelType w:val="multilevel"/>
    <w:tmpl w:val="5C1A15CA"/>
    <w:lvl w:ilvl="0" w:tentative="0">
      <w:start w:val="1"/>
      <w:numFmt w:val="decimal"/>
      <w:lvlText w:val="%1、"/>
      <w:lvlJc w:val="left"/>
      <w:pPr>
        <w:ind w:left="5322"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5C6F4B3E"/>
    <w:multiLevelType w:val="multilevel"/>
    <w:tmpl w:val="5C6F4B3E"/>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6B1D1232"/>
    <w:multiLevelType w:val="multilevel"/>
    <w:tmpl w:val="6B1D1232"/>
    <w:lvl w:ilvl="0" w:tentative="0">
      <w:start w:val="1"/>
      <w:numFmt w:val="decimal"/>
      <w:pStyle w:val="47"/>
      <w:lvlText w:val="%1"/>
      <w:lvlJc w:val="left"/>
      <w:pPr>
        <w:tabs>
          <w:tab w:val="left" w:pos="680"/>
        </w:tabs>
        <w:ind w:left="680" w:hanging="680"/>
      </w:pPr>
      <w:rPr>
        <w:rFonts w:hint="default" w:ascii="Arial Bold" w:hAnsi="Arial Bold" w:eastAsia="宋体"/>
        <w:b/>
        <w:i w:val="0"/>
        <w:sz w:val="24"/>
      </w:rPr>
    </w:lvl>
    <w:lvl w:ilvl="1" w:tentative="0">
      <w:start w:val="1"/>
      <w:numFmt w:val="decimal"/>
      <w:pStyle w:val="57"/>
      <w:lvlText w:val="%1.%2"/>
      <w:lvlJc w:val="left"/>
      <w:pPr>
        <w:tabs>
          <w:tab w:val="left" w:pos="680"/>
        </w:tabs>
        <w:ind w:left="680" w:hanging="680"/>
      </w:pPr>
      <w:rPr>
        <w:rFonts w:hint="eastAsia" w:ascii="宋体" w:eastAsia="宋体"/>
        <w:b/>
        <w:i w:val="0"/>
        <w:sz w:val="21"/>
      </w:rPr>
    </w:lvl>
    <w:lvl w:ilvl="2" w:tentative="0">
      <w:start w:val="1"/>
      <w:numFmt w:val="decimal"/>
      <w:pStyle w:val="43"/>
      <w:lvlText w:val="%1.%2.%3"/>
      <w:lvlJc w:val="left"/>
      <w:pPr>
        <w:tabs>
          <w:tab w:val="left" w:pos="1361"/>
        </w:tabs>
        <w:ind w:left="1361" w:hanging="681"/>
      </w:pPr>
      <w:rPr>
        <w:rFonts w:hint="default"/>
        <w:b/>
        <w:i w:val="0"/>
        <w:sz w:val="17"/>
      </w:rPr>
    </w:lvl>
    <w:lvl w:ilvl="3" w:tentative="0">
      <w:start w:val="1"/>
      <w:numFmt w:val="decimal"/>
      <w:lvlText w:val="(%4)"/>
      <w:lvlJc w:val="left"/>
      <w:pPr>
        <w:tabs>
          <w:tab w:val="left" w:pos="681"/>
        </w:tabs>
        <w:ind w:left="681" w:hanging="681"/>
      </w:pPr>
      <w:rPr>
        <w:rFonts w:hint="default" w:ascii="Arial" w:hAnsi="Arial"/>
        <w:b w:val="0"/>
        <w:i w:val="0"/>
        <w:sz w:val="20"/>
      </w:rPr>
    </w:lvl>
    <w:lvl w:ilvl="4" w:tentative="0">
      <w:start w:val="1"/>
      <w:numFmt w:val="lowerLetter"/>
      <w:pStyle w:val="46"/>
      <w:lvlText w:val="(%5)"/>
      <w:lvlJc w:val="left"/>
      <w:pPr>
        <w:tabs>
          <w:tab w:val="left" w:pos="2608"/>
        </w:tabs>
        <w:ind w:left="2608" w:hanging="567"/>
      </w:pPr>
      <w:rPr>
        <w:rFonts w:hint="default"/>
      </w:rPr>
    </w:lvl>
    <w:lvl w:ilvl="5" w:tentative="0">
      <w:start w:val="1"/>
      <w:numFmt w:val="upperRoman"/>
      <w:pStyle w:val="55"/>
      <w:lvlText w:val="(%6)"/>
      <w:lvlJc w:val="left"/>
      <w:pPr>
        <w:tabs>
          <w:tab w:val="left" w:pos="3288"/>
        </w:tabs>
        <w:ind w:left="3288" w:hanging="680"/>
      </w:pPr>
      <w:rPr>
        <w:rFonts w:hint="default"/>
      </w:rPr>
    </w:lvl>
    <w:lvl w:ilvl="6" w:tentative="0">
      <w:start w:val="1"/>
      <w:numFmt w:val="none"/>
      <w:pStyle w:val="54"/>
      <w:lvlText w:val=""/>
      <w:lvlJc w:val="left"/>
      <w:pPr>
        <w:tabs>
          <w:tab w:val="left" w:pos="3288"/>
        </w:tabs>
        <w:ind w:left="3288" w:hanging="680"/>
      </w:pPr>
      <w:rPr>
        <w:rFonts w:hint="default"/>
      </w:rPr>
    </w:lvl>
    <w:lvl w:ilvl="7" w:tentative="0">
      <w:start w:val="1"/>
      <w:numFmt w:val="none"/>
      <w:pStyle w:val="63"/>
      <w:lvlText w:val=""/>
      <w:lvlJc w:val="left"/>
      <w:pPr>
        <w:tabs>
          <w:tab w:val="left" w:pos="3288"/>
        </w:tabs>
        <w:ind w:left="3288" w:hanging="680"/>
      </w:pPr>
      <w:rPr>
        <w:rFonts w:hint="default"/>
      </w:rPr>
    </w:lvl>
    <w:lvl w:ilvl="8" w:tentative="0">
      <w:start w:val="1"/>
      <w:numFmt w:val="none"/>
      <w:pStyle w:val="51"/>
      <w:lvlText w:val=""/>
      <w:lvlJc w:val="left"/>
      <w:pPr>
        <w:tabs>
          <w:tab w:val="left" w:pos="3288"/>
        </w:tabs>
        <w:ind w:left="3288" w:hanging="680"/>
      </w:pPr>
      <w:rPr>
        <w:rFonts w:hint="default"/>
      </w:rPr>
    </w:lvl>
  </w:abstractNum>
  <w:abstractNum w:abstractNumId="5">
    <w:nsid w:val="6FE147B6"/>
    <w:multiLevelType w:val="singleLevel"/>
    <w:tmpl w:val="6FE147B6"/>
    <w:lvl w:ilvl="0" w:tentative="0">
      <w:start w:val="1"/>
      <w:numFmt w:val="decimal"/>
      <w:pStyle w:val="56"/>
      <w:lvlText w:val="(%1)"/>
      <w:lvlJc w:val="left"/>
      <w:pPr>
        <w:tabs>
          <w:tab w:val="left" w:pos="360"/>
        </w:tabs>
        <w:ind w:left="0" w:firstLine="0"/>
      </w:pPr>
      <w:rPr>
        <w:rFonts w:hint="eastAsia"/>
      </w:rPr>
    </w:lvl>
  </w:abstractNum>
  <w:num w:numId="1">
    <w:abstractNumId w:val="4"/>
  </w:num>
  <w:num w:numId="2">
    <w:abstractNumId w:val="5"/>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hideSpellingErrors/>
  <w:trackRevisions w:val="1"/>
  <w:documentProtection w:enforcement="0"/>
  <w:defaultTabStop w:val="21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02"/>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EA"/>
    <w:rsid w:val="000E2562"/>
    <w:rsid w:val="000E40C0"/>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20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14E"/>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54D"/>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EE"/>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67D35"/>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37BD"/>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341"/>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1F49"/>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A70"/>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1F"/>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BB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3C07"/>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43A"/>
    <w:rsid w:val="00F646CD"/>
    <w:rsid w:val="00F64A9F"/>
    <w:rsid w:val="00F658EA"/>
    <w:rsid w:val="00F65A65"/>
    <w:rsid w:val="00F65EC8"/>
    <w:rsid w:val="00F66195"/>
    <w:rsid w:val="00F6651A"/>
    <w:rsid w:val="00F6672F"/>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autoSpaceDE w:val="0"/>
      <w:autoSpaceDN w:val="0"/>
      <w:adjustRightInd w:val="0"/>
      <w:jc w:val="left"/>
      <w:outlineLvl w:val="1"/>
    </w:pPr>
    <w:rPr>
      <w:rFonts w:ascii="宋体"/>
      <w:kern w:val="0"/>
      <w:sz w:val="20"/>
    </w:rPr>
  </w:style>
  <w:style w:type="paragraph" w:styleId="4">
    <w:name w:val="heading 3"/>
    <w:basedOn w:val="1"/>
    <w:next w:val="1"/>
    <w:qFormat/>
    <w:uiPriority w:val="0"/>
    <w:pPr>
      <w:spacing w:before="120" w:after="120" w:line="360" w:lineRule="auto"/>
      <w:outlineLvl w:val="2"/>
    </w:pPr>
    <w:rPr>
      <w:rFonts w:ascii="宋体"/>
      <w:b/>
      <w:szCs w:val="20"/>
    </w:rPr>
  </w:style>
  <w:style w:type="paragraph" w:styleId="5">
    <w:name w:val="heading 4"/>
    <w:basedOn w:val="1"/>
    <w:next w:val="1"/>
    <w:qFormat/>
    <w:uiPriority w:val="0"/>
    <w:pPr>
      <w:keepNext/>
      <w:keepLines/>
      <w:spacing w:line="360" w:lineRule="auto"/>
      <w:outlineLvl w:val="3"/>
    </w:pPr>
    <w:rPr>
      <w:rFonts w:ascii="Arial" w:hAnsi="Arial"/>
      <w:szCs w:val="20"/>
    </w:rPr>
  </w:style>
  <w:style w:type="paragraph" w:styleId="6">
    <w:name w:val="heading 5"/>
    <w:basedOn w:val="1"/>
    <w:next w:val="1"/>
    <w:qFormat/>
    <w:uiPriority w:val="0"/>
    <w:pPr>
      <w:keepNext/>
      <w:keepLines/>
      <w:adjustRightInd w:val="0"/>
      <w:snapToGrid w:val="0"/>
      <w:spacing w:line="360" w:lineRule="auto"/>
      <w:outlineLvl w:val="4"/>
    </w:pPr>
    <w:rPr>
      <w:szCs w:val="20"/>
    </w:rPr>
  </w:style>
  <w:style w:type="paragraph" w:styleId="7">
    <w:name w:val="heading 6"/>
    <w:basedOn w:val="1"/>
    <w:next w:val="1"/>
    <w:qFormat/>
    <w:uiPriority w:val="0"/>
    <w:pPr>
      <w:keepNext/>
      <w:keepLines/>
      <w:spacing w:before="240" w:after="64" w:line="320" w:lineRule="auto"/>
      <w:outlineLvl w:val="5"/>
    </w:pPr>
    <w:rPr>
      <w:rFonts w:ascii="Arial" w:hAnsi="Arial" w:eastAsia="黑体"/>
      <w:b/>
      <w:sz w:val="24"/>
      <w:szCs w:val="20"/>
    </w:rPr>
  </w:style>
  <w:style w:type="paragraph" w:styleId="8">
    <w:name w:val="heading 7"/>
    <w:basedOn w:val="1"/>
    <w:next w:val="1"/>
    <w:qFormat/>
    <w:uiPriority w:val="0"/>
    <w:pPr>
      <w:keepNext/>
      <w:keepLines/>
      <w:spacing w:before="240" w:after="64" w:line="320" w:lineRule="auto"/>
      <w:outlineLvl w:val="6"/>
    </w:pPr>
    <w:rPr>
      <w:b/>
      <w:sz w:val="24"/>
      <w:szCs w:val="20"/>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szCs w:val="20"/>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0"/>
    </w:rPr>
  </w:style>
  <w:style w:type="character" w:default="1" w:styleId="27">
    <w:name w:val="Default Paragraph Font"/>
    <w:unhideWhenUsed/>
    <w:qFormat/>
    <w:uiPriority w:val="1"/>
  </w:style>
  <w:style w:type="table" w:default="1" w:styleId="33">
    <w:name w:val="Normal Table"/>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semiHidden/>
    <w:qFormat/>
    <w:uiPriority w:val="0"/>
    <w:rPr>
      <w:b/>
      <w:bCs/>
    </w:rPr>
  </w:style>
  <w:style w:type="paragraph" w:styleId="12">
    <w:name w:val="annotation text"/>
    <w:basedOn w:val="1"/>
    <w:link w:val="38"/>
    <w:qFormat/>
    <w:uiPriority w:val="99"/>
    <w:pPr>
      <w:jc w:val="left"/>
    </w:pPr>
  </w:style>
  <w:style w:type="paragraph" w:styleId="13">
    <w:name w:val="Normal Indent"/>
    <w:basedOn w:val="1"/>
    <w:qFormat/>
    <w:uiPriority w:val="0"/>
    <w:pPr>
      <w:ind w:firstLine="420"/>
    </w:pPr>
    <w:rPr>
      <w:szCs w:val="20"/>
    </w:rPr>
  </w:style>
  <w:style w:type="paragraph" w:styleId="14">
    <w:name w:val="Document Map"/>
    <w:basedOn w:val="1"/>
    <w:semiHidden/>
    <w:qFormat/>
    <w:uiPriority w:val="0"/>
    <w:pPr>
      <w:shd w:val="clear" w:color="auto" w:fill="000080"/>
    </w:pPr>
  </w:style>
  <w:style w:type="paragraph" w:styleId="15">
    <w:name w:val="Body Text"/>
    <w:basedOn w:val="1"/>
    <w:qFormat/>
    <w:uiPriority w:val="0"/>
    <w:pPr>
      <w:spacing w:after="120"/>
    </w:pPr>
  </w:style>
  <w:style w:type="paragraph" w:styleId="16">
    <w:name w:val="Body Text Indent"/>
    <w:basedOn w:val="1"/>
    <w:link w:val="41"/>
    <w:qFormat/>
    <w:uiPriority w:val="0"/>
    <w:pPr>
      <w:spacing w:after="120"/>
      <w:ind w:left="420" w:leftChars="200"/>
    </w:pPr>
  </w:style>
  <w:style w:type="paragraph" w:styleId="17">
    <w:name w:val="Plain Text"/>
    <w:basedOn w:val="1"/>
    <w:link w:val="70"/>
    <w:qFormat/>
    <w:uiPriority w:val="0"/>
    <w:rPr>
      <w:rFonts w:ascii="宋体" w:hAnsi="Courier New"/>
      <w:szCs w:val="21"/>
    </w:rPr>
  </w:style>
  <w:style w:type="paragraph" w:styleId="18">
    <w:name w:val="Body Text Indent 2"/>
    <w:basedOn w:val="1"/>
    <w:qFormat/>
    <w:uiPriority w:val="0"/>
    <w:pPr>
      <w:autoSpaceDE w:val="0"/>
      <w:autoSpaceDN w:val="0"/>
      <w:adjustRightInd w:val="0"/>
      <w:spacing w:line="360" w:lineRule="auto"/>
      <w:ind w:firstLine="420" w:firstLineChars="200"/>
    </w:pPr>
    <w:rPr>
      <w:rFonts w:ascii="宋体" w:hAnsi="宋体"/>
      <w:color w:val="0000FF"/>
    </w:rPr>
  </w:style>
  <w:style w:type="paragraph" w:styleId="19">
    <w:name w:val="Balloon Text"/>
    <w:basedOn w:val="1"/>
    <w:semiHidden/>
    <w:qFormat/>
    <w:uiPriority w:val="0"/>
    <w:rPr>
      <w:sz w:val="18"/>
      <w:szCs w:val="18"/>
    </w:rPr>
  </w:style>
  <w:style w:type="paragraph" w:styleId="20">
    <w:name w:val="footer"/>
    <w:basedOn w:val="1"/>
    <w:link w:val="42"/>
    <w:qFormat/>
    <w:uiPriority w:val="99"/>
    <w:pPr>
      <w:tabs>
        <w:tab w:val="center" w:pos="4153"/>
        <w:tab w:val="right" w:pos="8306"/>
      </w:tabs>
      <w:snapToGrid w:val="0"/>
      <w:jc w:val="left"/>
    </w:pPr>
    <w:rPr>
      <w:sz w:val="18"/>
      <w:szCs w:val="18"/>
    </w:rPr>
  </w:style>
  <w:style w:type="paragraph" w:styleId="2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tabs>
        <w:tab w:val="right" w:leader="dot" w:pos="8630"/>
      </w:tabs>
      <w:spacing w:before="120" w:after="120" w:line="360" w:lineRule="auto"/>
      <w:jc w:val="left"/>
    </w:pPr>
    <w:rPr>
      <w:b/>
      <w:bCs/>
      <w:caps/>
      <w:sz w:val="20"/>
      <w:szCs w:val="20"/>
    </w:rPr>
  </w:style>
  <w:style w:type="paragraph" w:styleId="23">
    <w:name w:val="Body Text Indent 3"/>
    <w:basedOn w:val="1"/>
    <w:qFormat/>
    <w:uiPriority w:val="0"/>
    <w:pPr>
      <w:spacing w:after="120"/>
      <w:ind w:left="420" w:leftChars="200"/>
    </w:pPr>
    <w:rPr>
      <w:sz w:val="16"/>
      <w:szCs w:val="16"/>
    </w:rPr>
  </w:style>
  <w:style w:type="paragraph" w:styleId="24">
    <w:name w:val="Body Text 2"/>
    <w:basedOn w:val="1"/>
    <w:qFormat/>
    <w:uiPriority w:val="0"/>
    <w:pPr>
      <w:spacing w:after="120" w:line="480" w:lineRule="auto"/>
    </w:pPr>
  </w:style>
  <w:style w:type="paragraph" w:styleId="25">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26">
    <w:name w:val="Title"/>
    <w:basedOn w:val="1"/>
    <w:qFormat/>
    <w:uiPriority w:val="0"/>
    <w:pPr>
      <w:spacing w:before="240" w:after="60"/>
      <w:jc w:val="center"/>
      <w:outlineLvl w:val="0"/>
    </w:pPr>
    <w:rPr>
      <w:rFonts w:ascii="Arial" w:hAnsi="Arial" w:cs="Arial"/>
      <w:b/>
      <w:bCs/>
      <w:sz w:val="32"/>
      <w:szCs w:val="32"/>
    </w:rPr>
  </w:style>
  <w:style w:type="character" w:styleId="28">
    <w:name w:val="Strong"/>
    <w:basedOn w:val="27"/>
    <w:qFormat/>
    <w:uiPriority w:val="22"/>
    <w:rPr>
      <w:b/>
      <w:bCs/>
    </w:rPr>
  </w:style>
  <w:style w:type="character" w:styleId="29">
    <w:name w:val="page number"/>
    <w:basedOn w:val="27"/>
    <w:qFormat/>
    <w:uiPriority w:val="0"/>
  </w:style>
  <w:style w:type="character" w:styleId="30">
    <w:name w:val="FollowedHyperlink"/>
    <w:qFormat/>
    <w:uiPriority w:val="0"/>
    <w:rPr>
      <w:color w:val="800080"/>
      <w:u w:val="single"/>
    </w:rPr>
  </w:style>
  <w:style w:type="character" w:styleId="31">
    <w:name w:val="Hyperlink"/>
    <w:qFormat/>
    <w:uiPriority w:val="99"/>
    <w:rPr>
      <w:color w:val="0000FF"/>
      <w:u w:val="single"/>
    </w:rPr>
  </w:style>
  <w:style w:type="character" w:styleId="32">
    <w:name w:val="annotation reference"/>
    <w:qFormat/>
    <w:uiPriority w:val="99"/>
    <w:rPr>
      <w:sz w:val="21"/>
      <w:szCs w:val="21"/>
    </w:rPr>
  </w:style>
  <w:style w:type="table" w:styleId="34">
    <w:name w:val="Table Grid"/>
    <w:basedOn w:val="3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5">
    <w:name w:val="read"/>
    <w:basedOn w:val="27"/>
    <w:qFormat/>
    <w:uiPriority w:val="0"/>
  </w:style>
  <w:style w:type="character" w:customStyle="1" w:styleId="36">
    <w:name w:val="标题 1 Char"/>
    <w:link w:val="2"/>
    <w:qFormat/>
    <w:uiPriority w:val="9"/>
    <w:rPr>
      <w:rFonts w:eastAsia="宋体"/>
      <w:b/>
      <w:bCs/>
      <w:kern w:val="44"/>
      <w:sz w:val="44"/>
      <w:szCs w:val="44"/>
      <w:lang w:val="en-US" w:eastAsia="zh-CN" w:bidi="ar-SA"/>
    </w:rPr>
  </w:style>
  <w:style w:type="character" w:customStyle="1" w:styleId="37">
    <w:name w:val="tt11"/>
    <w:qFormat/>
    <w:uiPriority w:val="0"/>
    <w:rPr>
      <w:sz w:val="22"/>
      <w:szCs w:val="22"/>
    </w:rPr>
  </w:style>
  <w:style w:type="character" w:customStyle="1" w:styleId="38">
    <w:name w:val="批注文字 Char"/>
    <w:link w:val="12"/>
    <w:qFormat/>
    <w:uiPriority w:val="0"/>
    <w:rPr>
      <w:kern w:val="2"/>
      <w:sz w:val="21"/>
      <w:szCs w:val="24"/>
    </w:rPr>
  </w:style>
  <w:style w:type="character" w:customStyle="1" w:styleId="39">
    <w:name w:val="big1"/>
    <w:qFormat/>
    <w:uiPriority w:val="0"/>
    <w:rPr>
      <w:sz w:val="22"/>
      <w:szCs w:val="22"/>
    </w:rPr>
  </w:style>
  <w:style w:type="character" w:customStyle="1" w:styleId="40">
    <w:name w:val="unnamed11"/>
    <w:qFormat/>
    <w:uiPriority w:val="0"/>
    <w:rPr>
      <w:rFonts w:hint="eastAsia" w:ascii="宋体" w:hAnsi="宋体" w:eastAsia="宋体"/>
      <w:sz w:val="18"/>
      <w:szCs w:val="18"/>
    </w:rPr>
  </w:style>
  <w:style w:type="character" w:customStyle="1" w:styleId="41">
    <w:name w:val="正文文本缩进 Char"/>
    <w:link w:val="16"/>
    <w:qFormat/>
    <w:uiPriority w:val="0"/>
    <w:rPr>
      <w:kern w:val="2"/>
      <w:sz w:val="21"/>
      <w:szCs w:val="24"/>
    </w:rPr>
  </w:style>
  <w:style w:type="character" w:customStyle="1" w:styleId="42">
    <w:name w:val="页脚 Char"/>
    <w:link w:val="20"/>
    <w:qFormat/>
    <w:uiPriority w:val="99"/>
    <w:rPr>
      <w:kern w:val="2"/>
      <w:sz w:val="18"/>
      <w:szCs w:val="18"/>
    </w:rPr>
  </w:style>
  <w:style w:type="paragraph" w:customStyle="1" w:styleId="43">
    <w:name w:val="Level 3"/>
    <w:basedOn w:val="1"/>
    <w:qFormat/>
    <w:uiPriority w:val="0"/>
    <w:pPr>
      <w:widowControl/>
      <w:numPr>
        <w:ilvl w:val="2"/>
        <w:numId w:val="1"/>
      </w:numPr>
      <w:spacing w:after="140" w:line="290" w:lineRule="auto"/>
      <w:outlineLvl w:val="2"/>
    </w:pPr>
    <w:rPr>
      <w:rFonts w:ascii="Arial" w:hAnsi="Arial"/>
      <w:kern w:val="20"/>
      <w:sz w:val="20"/>
      <w:lang w:val="en-GB" w:eastAsia="en-US"/>
    </w:rPr>
  </w:style>
  <w:style w:type="paragraph" w:customStyle="1" w:styleId="44">
    <w:name w:val="默认段落字体 Para Char Char Char Char Char Char Char"/>
    <w:basedOn w:val="1"/>
    <w:qFormat/>
    <w:uiPriority w:val="0"/>
    <w:pPr>
      <w:widowControl/>
      <w:jc w:val="left"/>
    </w:pPr>
    <w:rPr>
      <w:rFonts w:ascii="Tahoma" w:hAnsi="Tahoma"/>
      <w:color w:val="000000"/>
      <w:kern w:val="0"/>
      <w:sz w:val="24"/>
      <w:szCs w:val="20"/>
    </w:rPr>
  </w:style>
  <w:style w:type="paragraph" w:customStyle="1" w:styleId="45">
    <w:name w:val="Char2"/>
    <w:basedOn w:val="1"/>
    <w:qFormat/>
    <w:uiPriority w:val="0"/>
  </w:style>
  <w:style w:type="paragraph" w:customStyle="1" w:styleId="46">
    <w:name w:val="Level 5"/>
    <w:basedOn w:val="1"/>
    <w:qFormat/>
    <w:uiPriority w:val="0"/>
    <w:pPr>
      <w:widowControl/>
      <w:numPr>
        <w:ilvl w:val="4"/>
        <w:numId w:val="1"/>
      </w:numPr>
      <w:spacing w:after="140" w:line="290" w:lineRule="auto"/>
      <w:outlineLvl w:val="4"/>
    </w:pPr>
    <w:rPr>
      <w:rFonts w:ascii="Arial" w:hAnsi="Arial"/>
      <w:kern w:val="20"/>
      <w:sz w:val="20"/>
      <w:lang w:val="en-GB" w:eastAsia="en-US"/>
    </w:rPr>
  </w:style>
  <w:style w:type="paragraph" w:customStyle="1" w:styleId="47">
    <w:name w:val="Level 1"/>
    <w:basedOn w:val="1"/>
    <w:qFormat/>
    <w:uiPriority w:val="0"/>
    <w:pPr>
      <w:widowControl/>
      <w:numPr>
        <w:ilvl w:val="0"/>
        <w:numId w:val="1"/>
      </w:numPr>
      <w:spacing w:after="140" w:line="290" w:lineRule="auto"/>
      <w:outlineLvl w:val="0"/>
    </w:pPr>
    <w:rPr>
      <w:rFonts w:ascii="Arial" w:hAnsi="Arial"/>
      <w:kern w:val="20"/>
      <w:sz w:val="20"/>
      <w:lang w:val="en-GB" w:eastAsia="en-US"/>
    </w:rPr>
  </w:style>
  <w:style w:type="paragraph" w:customStyle="1" w:styleId="48">
    <w:name w:val="Char Char Char Char"/>
    <w:basedOn w:val="1"/>
    <w:qFormat/>
    <w:uiPriority w:val="0"/>
    <w:pPr>
      <w:tabs>
        <w:tab w:val="left" w:pos="360"/>
      </w:tabs>
    </w:pPr>
    <w:rPr>
      <w:sz w:val="24"/>
    </w:rPr>
  </w:style>
  <w:style w:type="paragraph" w:customStyle="1" w:styleId="49">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50">
    <w:name w:val="正文所"/>
    <w:basedOn w:val="1"/>
    <w:qFormat/>
    <w:uiPriority w:val="0"/>
    <w:pPr>
      <w:spacing w:line="360" w:lineRule="auto"/>
      <w:ind w:firstLine="420" w:firstLineChars="200"/>
    </w:pPr>
    <w:rPr>
      <w:rFonts w:ascii="宋体"/>
      <w:szCs w:val="20"/>
    </w:rPr>
  </w:style>
  <w:style w:type="paragraph" w:customStyle="1" w:styleId="51">
    <w:name w:val="Level 9"/>
    <w:basedOn w:val="1"/>
    <w:qFormat/>
    <w:uiPriority w:val="0"/>
    <w:pPr>
      <w:widowControl/>
      <w:numPr>
        <w:ilvl w:val="8"/>
        <w:numId w:val="1"/>
      </w:numPr>
      <w:spacing w:after="140" w:line="290" w:lineRule="auto"/>
      <w:outlineLvl w:val="8"/>
    </w:pPr>
    <w:rPr>
      <w:rFonts w:ascii="Arial" w:hAnsi="Arial"/>
      <w:kern w:val="20"/>
      <w:sz w:val="20"/>
      <w:lang w:val="en-GB" w:eastAsia="en-US"/>
    </w:rPr>
  </w:style>
  <w:style w:type="paragraph" w:customStyle="1" w:styleId="52">
    <w:name w:val="样式 宋体 四号 行距: 1.5 倍行距"/>
    <w:basedOn w:val="1"/>
    <w:qFormat/>
    <w:uiPriority w:val="0"/>
    <w:pPr>
      <w:spacing w:line="360" w:lineRule="auto"/>
    </w:pPr>
    <w:rPr>
      <w:rFonts w:ascii="宋体" w:hAnsi="宋体"/>
      <w:sz w:val="24"/>
      <w:szCs w:val="20"/>
    </w:rPr>
  </w:style>
  <w:style w:type="paragraph" w:customStyle="1" w:styleId="53">
    <w:name w:val="默认段落字体 Para Char"/>
    <w:basedOn w:val="1"/>
    <w:qFormat/>
    <w:uiPriority w:val="0"/>
    <w:pPr>
      <w:tabs>
        <w:tab w:val="left" w:pos="840"/>
      </w:tabs>
      <w:ind w:left="840" w:hanging="420"/>
    </w:pPr>
    <w:rPr>
      <w:sz w:val="24"/>
    </w:rPr>
  </w:style>
  <w:style w:type="paragraph" w:customStyle="1" w:styleId="54">
    <w:name w:val="Level 7"/>
    <w:basedOn w:val="1"/>
    <w:qFormat/>
    <w:uiPriority w:val="0"/>
    <w:pPr>
      <w:widowControl/>
      <w:numPr>
        <w:ilvl w:val="6"/>
        <w:numId w:val="1"/>
      </w:numPr>
      <w:spacing w:after="140" w:line="290" w:lineRule="auto"/>
      <w:outlineLvl w:val="6"/>
    </w:pPr>
    <w:rPr>
      <w:rFonts w:ascii="Arial" w:hAnsi="Arial"/>
      <w:kern w:val="20"/>
      <w:sz w:val="20"/>
      <w:lang w:val="en-GB" w:eastAsia="en-US"/>
    </w:rPr>
  </w:style>
  <w:style w:type="paragraph" w:customStyle="1" w:styleId="55">
    <w:name w:val="Level 6"/>
    <w:basedOn w:val="1"/>
    <w:qFormat/>
    <w:uiPriority w:val="0"/>
    <w:pPr>
      <w:widowControl/>
      <w:numPr>
        <w:ilvl w:val="5"/>
        <w:numId w:val="1"/>
      </w:numPr>
      <w:spacing w:after="140" w:line="290" w:lineRule="auto"/>
      <w:outlineLvl w:val="5"/>
    </w:pPr>
    <w:rPr>
      <w:rFonts w:ascii="Arial" w:hAnsi="Arial"/>
      <w:kern w:val="20"/>
      <w:sz w:val="20"/>
      <w:lang w:val="en-GB" w:eastAsia="en-US"/>
    </w:rPr>
  </w:style>
  <w:style w:type="paragraph" w:customStyle="1" w:styleId="56">
    <w:name w:val="列表2"/>
    <w:basedOn w:val="1"/>
    <w:next w:val="26"/>
    <w:qFormat/>
    <w:uiPriority w:val="0"/>
    <w:pPr>
      <w:numPr>
        <w:ilvl w:val="0"/>
        <w:numId w:val="2"/>
      </w:numPr>
      <w:spacing w:line="360" w:lineRule="auto"/>
    </w:pPr>
    <w:rPr>
      <w:rFonts w:ascii="宋体"/>
      <w:szCs w:val="20"/>
    </w:rPr>
  </w:style>
  <w:style w:type="paragraph" w:customStyle="1" w:styleId="57">
    <w:name w:val="Level 2"/>
    <w:basedOn w:val="1"/>
    <w:qFormat/>
    <w:uiPriority w:val="0"/>
    <w:pPr>
      <w:widowControl/>
      <w:numPr>
        <w:ilvl w:val="1"/>
        <w:numId w:val="1"/>
      </w:numPr>
      <w:spacing w:after="140" w:line="290" w:lineRule="auto"/>
      <w:outlineLvl w:val="1"/>
    </w:pPr>
    <w:rPr>
      <w:rFonts w:ascii="Arial" w:hAnsi="Arial"/>
      <w:kern w:val="20"/>
      <w:sz w:val="20"/>
      <w:lang w:val="en-GB" w:eastAsia="en-US"/>
    </w:rPr>
  </w:style>
  <w:style w:type="paragraph" w:customStyle="1" w:styleId="58">
    <w:name w:val="Char Char Char Char1"/>
    <w:basedOn w:val="1"/>
    <w:qFormat/>
    <w:uiPriority w:val="0"/>
    <w:pPr>
      <w:tabs>
        <w:tab w:val="left" w:pos="360"/>
      </w:tabs>
    </w:pPr>
    <w:rPr>
      <w:sz w:val="24"/>
    </w:rPr>
  </w:style>
  <w:style w:type="paragraph" w:customStyle="1" w:styleId="59">
    <w:name w:val="Char Char"/>
    <w:basedOn w:val="1"/>
    <w:qFormat/>
    <w:uiPriority w:val="0"/>
    <w:rPr>
      <w:szCs w:val="20"/>
    </w:rPr>
  </w:style>
  <w:style w:type="paragraph" w:customStyle="1" w:styleId="60">
    <w:name w:val="正文1"/>
    <w:basedOn w:val="1"/>
    <w:qFormat/>
    <w:uiPriority w:val="0"/>
    <w:pPr>
      <w:spacing w:line="360" w:lineRule="auto"/>
      <w:ind w:firstLine="200" w:firstLineChars="200"/>
    </w:pPr>
    <w:rPr>
      <w:rFonts w:cs="宋体"/>
      <w:szCs w:val="20"/>
    </w:rPr>
  </w:style>
  <w:style w:type="paragraph" w:customStyle="1" w:styleId="61">
    <w:name w:val="默认段落字体 Para Char Char Char Char Char Char Char Char Char Char Char Char"/>
    <w:basedOn w:val="1"/>
    <w:qFormat/>
    <w:uiPriority w:val="0"/>
    <w:pPr>
      <w:tabs>
        <w:tab w:val="left" w:pos="840"/>
      </w:tabs>
      <w:ind w:left="840" w:hanging="360"/>
    </w:pPr>
    <w:rPr>
      <w:sz w:val="24"/>
    </w:rPr>
  </w:style>
  <w:style w:type="paragraph" w:customStyle="1" w:styleId="6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3">
    <w:name w:val="Level 8"/>
    <w:basedOn w:val="1"/>
    <w:qFormat/>
    <w:uiPriority w:val="0"/>
    <w:pPr>
      <w:widowControl/>
      <w:numPr>
        <w:ilvl w:val="7"/>
        <w:numId w:val="1"/>
      </w:numPr>
      <w:spacing w:after="140" w:line="290" w:lineRule="auto"/>
      <w:outlineLvl w:val="7"/>
    </w:pPr>
    <w:rPr>
      <w:rFonts w:ascii="Arial" w:hAnsi="Arial"/>
      <w:kern w:val="20"/>
      <w:sz w:val="20"/>
      <w:lang w:val="en-GB" w:eastAsia="en-US"/>
    </w:rPr>
  </w:style>
  <w:style w:type="paragraph" w:customStyle="1" w:styleId="64">
    <w:name w:val="Char"/>
    <w:basedOn w:val="1"/>
    <w:qFormat/>
    <w:uiPriority w:val="0"/>
  </w:style>
  <w:style w:type="paragraph" w:customStyle="1" w:styleId="65">
    <w:name w:val="正文正文"/>
    <w:basedOn w:val="1"/>
    <w:qFormat/>
    <w:uiPriority w:val="0"/>
    <w:pPr>
      <w:spacing w:afterLines="25" w:line="360" w:lineRule="auto"/>
      <w:ind w:firstLine="200" w:firstLineChars="200"/>
    </w:pPr>
    <w:rPr>
      <w:sz w:val="24"/>
    </w:rPr>
  </w:style>
  <w:style w:type="paragraph" w:customStyle="1" w:styleId="66">
    <w:name w:val="xl25"/>
    <w:basedOn w:val="1"/>
    <w:qFormat/>
    <w:uiPriority w:val="0"/>
    <w:pPr>
      <w:widowControl/>
      <w:pBdr>
        <w:bottom w:val="single" w:color="auto" w:sz="4" w:space="0"/>
        <w:right w:val="single" w:color="auto" w:sz="4" w:space="0"/>
      </w:pBdr>
      <w:spacing w:before="100" w:beforeAutospacing="1" w:after="100" w:afterAutospacing="1"/>
      <w:jc w:val="center"/>
    </w:pPr>
    <w:rPr>
      <w:rFonts w:eastAsia="Arial Unicode MS"/>
      <w:kern w:val="0"/>
      <w:szCs w:val="21"/>
    </w:rPr>
  </w:style>
  <w:style w:type="paragraph" w:customStyle="1" w:styleId="67">
    <w:name w:val="产品方案正文080318"/>
    <w:basedOn w:val="1"/>
    <w:next w:val="1"/>
    <w:qFormat/>
    <w:uiPriority w:val="0"/>
    <w:pPr>
      <w:autoSpaceDE w:val="0"/>
      <w:autoSpaceDN w:val="0"/>
      <w:adjustRightInd w:val="0"/>
      <w:jc w:val="left"/>
    </w:pPr>
    <w:rPr>
      <w:rFonts w:ascii="宋体"/>
      <w:kern w:val="0"/>
      <w:sz w:val="24"/>
    </w:rPr>
  </w:style>
  <w:style w:type="paragraph" w:customStyle="1" w:styleId="68">
    <w:name w:val="第三级标题"/>
    <w:basedOn w:val="65"/>
    <w:next w:val="65"/>
    <w:qFormat/>
    <w:uiPriority w:val="0"/>
    <w:pPr>
      <w:keepNext/>
      <w:outlineLvl w:val="2"/>
    </w:pPr>
    <w:rPr>
      <w:b/>
    </w:rPr>
  </w:style>
  <w:style w:type="paragraph" w:customStyle="1" w:styleId="69">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70">
    <w:name w:val="纯文本 Char"/>
    <w:link w:val="17"/>
    <w:qFormat/>
    <w:uiPriority w:val="0"/>
    <w:rPr>
      <w:rFonts w:ascii="宋体" w:hAnsi="Courier New"/>
      <w:kern w:val="2"/>
      <w:sz w:val="21"/>
      <w:szCs w:val="21"/>
    </w:rPr>
  </w:style>
  <w:style w:type="paragraph" w:customStyle="1" w:styleId="71">
    <w:name w:val="列出段落1"/>
    <w:basedOn w:val="1"/>
    <w:qFormat/>
    <w:uiPriority w:val="99"/>
    <w:pPr>
      <w:ind w:firstLine="420" w:firstLineChars="200"/>
    </w:pPr>
  </w:style>
  <w:style w:type="character" w:customStyle="1" w:styleId="72">
    <w:name w:val="apple-converted-space"/>
    <w:basedOn w:val="27"/>
    <w:qFormat/>
    <w:uiPriority w:val="0"/>
  </w:style>
  <w:style w:type="paragraph" w:customStyle="1" w:styleId="73">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74">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7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emf"/><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9228F0-90D7-45EA-B0D4-D24047A34F8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115</Pages>
  <Words>11543</Words>
  <Characters>65799</Characters>
  <Lines>548</Lines>
  <Paragraphs>154</Paragraphs>
  <ScaleCrop>false</ScaleCrop>
  <LinksUpToDate>false</LinksUpToDate>
  <CharactersWithSpaces>77188</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2017-06-12T09:34:00Z</dcterms:created>
  <dc:creator>tangkaiyue</dc:creator>
  <cp:lastModifiedBy>ZHANGFANG</cp:lastModifiedBy>
  <cp:lastPrinted>2016-08-24T01:43:00Z</cp:lastPrinted>
  <dcterms:modified xsi:type="dcterms:W3CDTF">2017-07-05T08:15:18Z</dcterms:modified>
  <dc:title>富荣货币市场基金</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